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rPr/>
      </w:pPr>
      <w:r>
        <w:rPr/>
      </w:r>
    </w:p>
    <w:p>
      <w:pPr>
        <w:pStyle w:val="Normal"/>
        <w:widowControl w:val="false"/>
        <w:tabs>
          <w:tab w:val="clear" w:pos="709"/>
          <w:tab w:val="left" w:pos="5970" w:leader="none"/>
          <w:tab w:val="left" w:pos="6705" w:leader="none"/>
        </w:tabs>
        <w:rPr/>
      </w:pPr>
      <w:r>
        <w:rPr/>
        <w:tab/>
      </w:r>
    </w:p>
    <w:p>
      <w:pPr>
        <w:pStyle w:val="Normal"/>
        <w:widowControl w:val="false"/>
        <w:tabs>
          <w:tab w:val="clear" w:pos="709"/>
          <w:tab w:val="left" w:pos="5970" w:leader="none"/>
          <w:tab w:val="left" w:pos="6705" w:leader="none"/>
        </w:tabs>
        <w:rPr/>
      </w:pPr>
      <w:r>
        <w:rPr/>
        <w:tab/>
      </w:r>
    </w:p>
    <w:p>
      <w:pPr>
        <w:pStyle w:val="Normal"/>
        <w:widowControl w:val="false"/>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tabs>
          <w:tab w:val="clear" w:pos="709"/>
          <w:tab w:val="left" w:pos="5940" w:leader="none"/>
        </w:tabs>
        <w:ind w:firstLine="900" w:left="-360" w:right="-82"/>
        <w:jc w:val="both"/>
        <w:rPr>
          <w:b/>
          <w:sz w:val="27"/>
          <w:szCs w:val="27"/>
        </w:rPr>
      </w:pPr>
      <w:r>
        <w:rPr>
          <w:b/>
          <w:sz w:val="27"/>
          <w:szCs w:val="27"/>
        </w:rPr>
      </w:r>
    </w:p>
    <w:p>
      <w:pPr>
        <w:pStyle w:val="Normal"/>
        <w:jc w:val="center"/>
        <w:rPr>
          <w:b/>
          <w:sz w:val="28"/>
          <w:szCs w:val="28"/>
        </w:rPr>
      </w:pPr>
      <w:r>
        <w:rPr>
          <w:b/>
          <w:sz w:val="28"/>
          <w:szCs w:val="28"/>
        </w:rPr>
        <w:t>ТЕХНИЧЕСКОЕ ЗАДАНИЕ</w:t>
      </w:r>
    </w:p>
    <w:p>
      <w:pPr>
        <w:pStyle w:val="Normal"/>
        <w:jc w:val="center"/>
        <w:rPr>
          <w:b/>
        </w:rPr>
      </w:pPr>
      <w:r>
        <w:rPr>
          <w:b/>
          <w:sz w:val="26"/>
          <w:szCs w:val="26"/>
        </w:rPr>
        <w:t xml:space="preserve">на организацию системы учета электроэнергии с удаленным сбором данных (включая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w:t>
      </w:r>
    </w:p>
    <w:p>
      <w:pPr>
        <w:pStyle w:val="Normal"/>
        <w:rPr/>
      </w:pPr>
      <w:r>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ind w:right="-82"/>
        <w:jc w:val="both"/>
        <w:rPr>
          <w:sz w:val="27"/>
          <w:szCs w:val="27"/>
        </w:rPr>
      </w:pPr>
      <w:r>
        <w:rPr>
          <w:sz w:val="27"/>
          <w:szCs w:val="27"/>
        </w:rPr>
      </w:r>
    </w:p>
    <w:p>
      <w:pPr>
        <w:pStyle w:val="Normal"/>
        <w:jc w:val="center"/>
        <w:rPr/>
      </w:pPr>
      <w:r>
        <w:rPr/>
        <w:t>г.Екатеринбург 2026</w:t>
      </w:r>
      <w:r>
        <w:br w:type="page"/>
      </w:r>
    </w:p>
    <w:p>
      <w:pPr>
        <w:pStyle w:val="Normal"/>
        <w:spacing w:lineRule="auto" w:line="276" w:before="0" w:after="0"/>
        <w:jc w:val="center"/>
        <w:rPr>
          <w:b/>
          <w:sz w:val="26"/>
          <w:szCs w:val="26"/>
        </w:rPr>
      </w:pPr>
      <w:r>
        <w:rPr>
          <w:b/>
          <w:sz w:val="26"/>
          <w:szCs w:val="26"/>
        </w:rPr>
        <w:t xml:space="preserve"> </w:t>
      </w:r>
      <w:r>
        <w:rPr>
          <w:b/>
          <w:sz w:val="26"/>
          <w:szCs w:val="26"/>
        </w:rPr>
        <w:t>Оглавление</w:t>
      </w:r>
    </w:p>
    <w:sdt>
      <w:sdtPr>
        <w:docPartObj>
          <w:docPartGallery w:val="Table of Contents"/>
          <w:docPartUnique w:val="true"/>
        </w:docPartObj>
      </w:sdtPr>
      <w:sdtContent>
        <w:p>
          <w:pPr>
            <w:pStyle w:val="TOC1"/>
            <w:tabs>
              <w:tab w:val="left" w:pos="851" w:leader="none"/>
              <w:tab w:val="right" w:pos="9628" w:leader="dot"/>
            </w:tabs>
            <w:rPr>
              <w:rFonts w:ascii="Times New Roman" w:hAnsi="Times New Roman"/>
              <w:sz w:val="26"/>
              <w:szCs w:val="26"/>
            </w:rPr>
          </w:pPr>
          <w:r>
            <w:fldChar w:fldCharType="begin"/>
          </w:r>
          <w:r>
            <w:rPr>
              <w:webHidden/>
              <w:rStyle w:val="Style34"/>
              <w:sz w:val="26"/>
              <w:szCs w:val="26"/>
              <w:vanish w:val="false"/>
              <w:rFonts w:ascii="Times New Roman" w:hAnsi="Times New Roman"/>
            </w:rPr>
            <w:instrText xml:space="preserve"> TOC \z \o "1-3" \u \h</w:instrText>
          </w:r>
          <w:r>
            <w:rPr>
              <w:webHidden/>
              <w:rStyle w:val="Style34"/>
              <w:sz w:val="26"/>
              <w:szCs w:val="26"/>
              <w:vanish w:val="false"/>
              <w:rFonts w:ascii="Times New Roman" w:hAnsi="Times New Roman"/>
            </w:rPr>
            <w:fldChar w:fldCharType="separate"/>
          </w:r>
          <w:hyperlink w:anchor="_Toc32489340">
            <w:r>
              <w:rPr>
                <w:webHidden/>
                <w:rStyle w:val="Style34"/>
                <w:rFonts w:ascii="Times New Roman" w:hAnsi="Times New Roman"/>
                <w:vanish w:val="false"/>
                <w:sz w:val="26"/>
                <w:szCs w:val="26"/>
              </w:rPr>
              <w:t>1. Общие сведения</w:t>
            </w:r>
            <w:r>
              <w:rPr>
                <w:rStyle w:val="Style34"/>
                <w:rFonts w:ascii="Times New Roman" w:hAnsi="Times New Roman"/>
                <w:vanish w:val="false"/>
                <w:sz w:val="26"/>
                <w:szCs w:val="26"/>
              </w:rPr>
              <w:tab/>
            </w:r>
          </w:hyperlink>
          <w:r>
            <w:rPr>
              <w:rFonts w:ascii="Times New Roman" w:hAnsi="Times New Roman"/>
              <w:color w:val="000000"/>
              <w:sz w:val="26"/>
              <w:szCs w:val="26"/>
              <w:u w:val="none"/>
            </w:rPr>
            <w:t>8</w:t>
          </w:r>
        </w:p>
        <w:p>
          <w:pPr>
            <w:pStyle w:val="TOC2"/>
            <w:tabs>
              <w:tab w:val="clear" w:pos="709"/>
              <w:tab w:val="left" w:pos="851" w:leader="none"/>
              <w:tab w:val="right" w:pos="9486" w:leader="dot"/>
            </w:tabs>
            <w:rPr>
              <w:rFonts w:ascii="Times New Roman" w:hAnsi="Times New Roman"/>
              <w:sz w:val="26"/>
              <w:szCs w:val="26"/>
            </w:rPr>
          </w:pPr>
          <w:hyperlink w:anchor="_Toc32489341">
            <w:r>
              <w:rPr>
                <w:webHidden/>
                <w:rStyle w:val="Style34"/>
                <w:rFonts w:ascii="Times New Roman" w:hAnsi="Times New Roman"/>
                <w:vanish w:val="false"/>
                <w:sz w:val="26"/>
                <w:szCs w:val="26"/>
              </w:rPr>
              <w:t>1.1. Наименование</w:t>
              <w:tab/>
            </w:r>
            <w:r>
              <w:rPr>
                <w:webHidden/>
              </w:rPr>
              <w:fldChar w:fldCharType="begin"/>
            </w:r>
            <w:r>
              <w:rPr>
                <w:webHidden/>
              </w:rPr>
              <w:instrText xml:space="preserve">PAGEREF _Toc32489341 \h</w:instrText>
            </w:r>
            <w:r>
              <w:rPr>
                <w:webHidden/>
              </w:rPr>
              <w:fldChar w:fldCharType="separate"/>
            </w:r>
            <w:r>
              <w:rPr>
                <w:rStyle w:val="Style34"/>
                <w:rFonts w:ascii="Times New Roman" w:hAnsi="Times New Roman"/>
                <w:vanish/>
                <w:sz w:val="26"/>
                <w:szCs w:val="26"/>
              </w:rPr>
              <w:t>6</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42">
            <w:r>
              <w:rPr>
                <w:webHidden/>
                <w:rStyle w:val="Style34"/>
                <w:rFonts w:ascii="Times New Roman" w:hAnsi="Times New Roman"/>
                <w:vanish w:val="false"/>
                <w:sz w:val="26"/>
                <w:szCs w:val="26"/>
              </w:rPr>
              <w:t>1.2. Назначение</w:t>
              <w:tab/>
            </w:r>
            <w:r>
              <w:rPr>
                <w:webHidden/>
              </w:rPr>
              <w:fldChar w:fldCharType="begin"/>
            </w:r>
            <w:r>
              <w:rPr>
                <w:webHidden/>
              </w:rPr>
              <w:instrText xml:space="preserve">PAGEREF _Toc32489342 \h</w:instrText>
            </w:r>
            <w:r>
              <w:rPr>
                <w:webHidden/>
              </w:rPr>
              <w:fldChar w:fldCharType="separate"/>
            </w:r>
            <w:r>
              <w:rPr>
                <w:rStyle w:val="Style34"/>
                <w:rFonts w:ascii="Times New Roman" w:hAnsi="Times New Roman"/>
                <w:vanish/>
                <w:sz w:val="26"/>
                <w:szCs w:val="26"/>
              </w:rPr>
              <w:t>6</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43">
            <w:r>
              <w:rPr>
                <w:webHidden/>
                <w:rStyle w:val="Style34"/>
                <w:rFonts w:ascii="Times New Roman" w:hAnsi="Times New Roman"/>
                <w:vanish w:val="false"/>
                <w:sz w:val="26"/>
                <w:szCs w:val="26"/>
              </w:rPr>
              <w:t>1.3. Основание для проведения работ</w:t>
              <w:tab/>
            </w:r>
            <w:r>
              <w:rPr>
                <w:webHidden/>
              </w:rPr>
              <w:fldChar w:fldCharType="begin"/>
            </w:r>
            <w:r>
              <w:rPr>
                <w:webHidden/>
              </w:rPr>
              <w:instrText xml:space="preserve">PAGEREF _Toc32489343 \h</w:instrText>
            </w:r>
            <w:r>
              <w:rPr>
                <w:webHidden/>
              </w:rPr>
              <w:fldChar w:fldCharType="separate"/>
            </w:r>
            <w:r>
              <w:rPr>
                <w:rStyle w:val="Style34"/>
                <w:rFonts w:ascii="Times New Roman" w:hAnsi="Times New Roman"/>
                <w:vanish/>
                <w:sz w:val="26"/>
                <w:szCs w:val="26"/>
              </w:rPr>
              <w:t>6</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44">
            <w:r>
              <w:rPr>
                <w:webHidden/>
                <w:rStyle w:val="Style34"/>
                <w:rFonts w:ascii="Times New Roman" w:hAnsi="Times New Roman"/>
                <w:vanish w:val="false"/>
                <w:sz w:val="26"/>
                <w:szCs w:val="26"/>
              </w:rPr>
              <w:t>1.4. Сроки начала и окончания работ</w:t>
              <w:tab/>
            </w:r>
            <w:r>
              <w:rPr>
                <w:webHidden/>
              </w:rPr>
              <w:fldChar w:fldCharType="begin"/>
            </w:r>
            <w:r>
              <w:rPr>
                <w:webHidden/>
              </w:rPr>
              <w:instrText xml:space="preserve">PAGEREF _Toc32489344 \h</w:instrText>
            </w:r>
            <w:r>
              <w:rPr>
                <w:webHidden/>
              </w:rPr>
              <w:fldChar w:fldCharType="separate"/>
            </w:r>
            <w:r>
              <w:rPr>
                <w:rStyle w:val="Style34"/>
                <w:rFonts w:ascii="Times New Roman" w:hAnsi="Times New Roman"/>
                <w:vanish/>
                <w:sz w:val="26"/>
                <w:szCs w:val="26"/>
              </w:rPr>
              <w:t>6</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45">
            <w:r>
              <w:rPr>
                <w:webHidden/>
                <w:rStyle w:val="Style34"/>
                <w:rFonts w:ascii="Times New Roman" w:hAnsi="Times New Roman"/>
                <w:vanish w:val="false"/>
                <w:sz w:val="26"/>
                <w:szCs w:val="26"/>
              </w:rPr>
              <w:t>1.5. Источник финансирования</w:t>
              <w:tab/>
            </w:r>
            <w:r>
              <w:rPr>
                <w:webHidden/>
              </w:rPr>
              <w:fldChar w:fldCharType="begin"/>
            </w:r>
            <w:r>
              <w:rPr>
                <w:webHidden/>
              </w:rPr>
              <w:instrText xml:space="preserve">PAGEREF _Toc32489345 \h</w:instrText>
            </w:r>
            <w:r>
              <w:rPr>
                <w:webHidden/>
              </w:rPr>
              <w:fldChar w:fldCharType="separate"/>
            </w:r>
            <w:r>
              <w:rPr>
                <w:rStyle w:val="Style34"/>
                <w:rFonts w:ascii="Times New Roman" w:hAnsi="Times New Roman"/>
                <w:vanish/>
                <w:sz w:val="26"/>
                <w:szCs w:val="26"/>
              </w:rPr>
              <w:t>6</w:t>
            </w:r>
            <w:r>
              <w:rPr>
                <w:webHidden/>
              </w:rPr>
              <w:fldChar w:fldCharType="end"/>
            </w:r>
          </w:hyperlink>
        </w:p>
        <w:p>
          <w:pPr>
            <w:pStyle w:val="TOC2"/>
            <w:tabs>
              <w:tab w:val="clear" w:pos="709"/>
              <w:tab w:val="left" w:pos="851" w:leader="none"/>
              <w:tab w:val="right" w:pos="9486" w:leader="dot"/>
            </w:tabs>
            <w:rPr>
              <w:rFonts w:ascii="Times New Roman" w:hAnsi="Times New Roman"/>
              <w:color w:val="000000"/>
              <w:sz w:val="26"/>
              <w:szCs w:val="26"/>
              <w:u w:val="none"/>
            </w:rPr>
          </w:pPr>
          <w:r>
            <w:rPr>
              <w:rFonts w:ascii="Times New Roman" w:hAnsi="Times New Roman"/>
              <w:color w:val="000000"/>
              <w:sz w:val="26"/>
              <w:szCs w:val="26"/>
              <w:u w:val="none"/>
            </w:rPr>
            <w:t>1.6.</w:t>
          </w:r>
          <w:r>
            <w:rPr/>
            <w:t xml:space="preserve"> </w:t>
          </w:r>
          <w:r>
            <w:rPr>
              <w:rFonts w:ascii="Times New Roman" w:hAnsi="Times New Roman"/>
              <w:color w:val="000000"/>
              <w:sz w:val="26"/>
              <w:szCs w:val="26"/>
              <w:u w:val="none"/>
            </w:rPr>
            <w:t>Технические характеристики оборудования</w:t>
            <w:tab/>
            <w:t>6</w:t>
          </w:r>
        </w:p>
        <w:p>
          <w:pPr>
            <w:pStyle w:val="TOC2"/>
            <w:tabs>
              <w:tab w:val="clear" w:pos="709"/>
              <w:tab w:val="left" w:pos="851" w:leader="none"/>
              <w:tab w:val="right" w:pos="9486" w:leader="dot"/>
            </w:tabs>
            <w:rPr>
              <w:rFonts w:ascii="Times New Roman" w:hAnsi="Times New Roman"/>
              <w:sz w:val="26"/>
              <w:szCs w:val="26"/>
            </w:rPr>
          </w:pPr>
          <w:r>
            <w:rPr>
              <w:rFonts w:ascii="Times New Roman" w:hAnsi="Times New Roman"/>
              <w:color w:val="000000"/>
              <w:sz w:val="26"/>
              <w:szCs w:val="26"/>
              <w:u w:val="none"/>
            </w:rPr>
            <w:t>1.7. Объекты</w:t>
            <w:tab/>
            <w:t>6</w:t>
          </w:r>
        </w:p>
        <w:p>
          <w:pPr>
            <w:pStyle w:val="TOC2"/>
            <w:widowControl/>
            <w:tabs>
              <w:tab w:val="clear" w:pos="709"/>
              <w:tab w:val="left" w:pos="851" w:leader="none"/>
              <w:tab w:val="right" w:pos="9486" w:leader="dot"/>
            </w:tabs>
            <w:bidi w:val="0"/>
            <w:jc w:val="left"/>
            <w:rPr>
              <w:rFonts w:ascii="Times New Roman" w:hAnsi="Times New Roman"/>
              <w:color w:val="000000"/>
              <w:sz w:val="26"/>
              <w:szCs w:val="26"/>
              <w:u w:val="none"/>
            </w:rPr>
          </w:pPr>
          <w:r>
            <w:rPr>
              <w:rFonts w:ascii="Times New Roman" w:hAnsi="Times New Roman"/>
              <w:color w:val="000000"/>
              <w:sz w:val="26"/>
              <w:szCs w:val="26"/>
              <w:u w:val="none"/>
            </w:rPr>
            <w:t xml:space="preserve"> </w:t>
          </w:r>
          <w:r>
            <w:rPr>
              <w:rFonts w:ascii="Times New Roman" w:hAnsi="Times New Roman"/>
              <w:color w:val="000000"/>
              <w:sz w:val="26"/>
              <w:szCs w:val="26"/>
              <w:u w:val="none"/>
              <w:lang w:val="ru-RU" w:eastAsia="ru-RU" w:bidi="ar-SA"/>
            </w:rPr>
            <w:t>1.8. Прочие условиям…………………………………………………………………...6</w:t>
          </w:r>
        </w:p>
        <w:p>
          <w:pPr>
            <w:pStyle w:val="TOC2"/>
            <w:widowControl/>
            <w:tabs>
              <w:tab w:val="clear" w:pos="709"/>
              <w:tab w:val="left" w:pos="851" w:leader="none"/>
              <w:tab w:val="right" w:pos="9486" w:leader="dot"/>
            </w:tabs>
            <w:bidi w:val="0"/>
            <w:jc w:val="left"/>
            <w:rPr>
              <w:rFonts w:ascii="Times New Roman" w:hAnsi="Times New Roman"/>
              <w:color w:val="000000"/>
              <w:sz w:val="26"/>
              <w:szCs w:val="26"/>
              <w:u w:val="none"/>
              <w:lang w:val="ru-RU" w:eastAsia="ru-RU" w:bidi="ar-SA"/>
            </w:rPr>
          </w:pPr>
          <w:r>
            <w:rPr>
              <w:rFonts w:ascii="Times New Roman" w:hAnsi="Times New Roman"/>
              <w:color w:val="000000"/>
              <w:sz w:val="26"/>
              <w:szCs w:val="26"/>
              <w:u w:val="none"/>
              <w:lang w:val="ru-RU" w:eastAsia="ru-RU" w:bidi="ar-SA"/>
            </w:rPr>
            <w:t xml:space="preserve"> </w:t>
          </w:r>
          <w:r>
            <w:rPr>
              <w:rFonts w:ascii="Times New Roman" w:hAnsi="Times New Roman"/>
              <w:color w:val="000000"/>
              <w:sz w:val="26"/>
              <w:szCs w:val="26"/>
              <w:u w:val="none"/>
              <w:lang w:val="ru-RU" w:eastAsia="ru-RU" w:bidi="ar-SA"/>
            </w:rPr>
            <w:t>1.9. Требования к персоналу……………………………………………………………6</w:t>
          </w:r>
        </w:p>
        <w:p>
          <w:pPr>
            <w:pStyle w:val="TOC1"/>
            <w:tabs>
              <w:tab w:val="left" w:pos="851" w:leader="none"/>
              <w:tab w:val="right" w:pos="9628" w:leader="dot"/>
            </w:tabs>
            <w:rPr>
              <w:rFonts w:ascii="Times New Roman" w:hAnsi="Times New Roman"/>
              <w:sz w:val="26"/>
              <w:szCs w:val="26"/>
            </w:rPr>
          </w:pPr>
          <w:hyperlink w:anchor="_Toc32489346">
            <w:r>
              <w:rPr>
                <w:webHidden/>
                <w:rStyle w:val="Style34"/>
                <w:rFonts w:ascii="Times New Roman" w:hAnsi="Times New Roman"/>
                <w:vanish w:val="false"/>
                <w:sz w:val="26"/>
                <w:szCs w:val="26"/>
              </w:rPr>
              <w:t>2. Общие технические требования</w:t>
              <w:tab/>
            </w:r>
            <w:r>
              <w:rPr>
                <w:webHidden/>
              </w:rPr>
              <w:fldChar w:fldCharType="begin"/>
            </w:r>
            <w:r>
              <w:rPr>
                <w:webHidden/>
              </w:rPr>
              <w:instrText xml:space="preserve">PAGEREF _Toc32489346 \h</w:instrText>
            </w:r>
            <w:r>
              <w:rPr>
                <w:webHidden/>
              </w:rPr>
              <w:fldChar w:fldCharType="separate"/>
            </w:r>
            <w:r>
              <w:rPr>
                <w:rStyle w:val="Style34"/>
                <w:rFonts w:ascii="Times New Roman" w:hAnsi="Times New Roman"/>
                <w:vanish/>
                <w:sz w:val="26"/>
                <w:szCs w:val="26"/>
              </w:rPr>
              <w:t>7</w:t>
            </w:r>
            <w:r>
              <w:rPr>
                <w:webHidden/>
              </w:rPr>
              <w:fldChar w:fldCharType="end"/>
            </w:r>
          </w:hyperlink>
        </w:p>
        <w:p>
          <w:pPr>
            <w:pStyle w:val="TOC1"/>
            <w:tabs>
              <w:tab w:val="left" w:pos="440" w:leader="none"/>
              <w:tab w:val="left" w:pos="851" w:leader="none"/>
              <w:tab w:val="right" w:pos="9628" w:leader="dot"/>
            </w:tabs>
            <w:rPr>
              <w:rFonts w:ascii="Times New Roman" w:hAnsi="Times New Roman"/>
              <w:sz w:val="26"/>
              <w:szCs w:val="26"/>
            </w:rPr>
          </w:pPr>
          <w:hyperlink w:anchor="_Toc32489347">
            <w:r>
              <w:rPr>
                <w:webHidden/>
                <w:rStyle w:val="Style34"/>
                <w:rFonts w:ascii="Times New Roman" w:hAnsi="Times New Roman"/>
                <w:vanish w:val="false"/>
                <w:sz w:val="26"/>
                <w:szCs w:val="26"/>
              </w:rPr>
              <w:t>3.</w:t>
              <w:tab/>
              <w:t>Состав и содержание работ</w:t>
              <w:tab/>
            </w:r>
            <w:r>
              <w:rPr>
                <w:webHidden/>
              </w:rPr>
              <w:fldChar w:fldCharType="begin"/>
            </w:r>
            <w:r>
              <w:rPr>
                <w:webHidden/>
              </w:rPr>
              <w:instrText xml:space="preserve">PAGEREF _Toc32489347 \h</w:instrText>
            </w:r>
            <w:r>
              <w:rPr>
                <w:webHidden/>
              </w:rPr>
              <w:fldChar w:fldCharType="separate"/>
            </w:r>
            <w:r>
              <w:rPr>
                <w:rStyle w:val="Style34"/>
                <w:rFonts w:ascii="Times New Roman" w:hAnsi="Times New Roman"/>
                <w:vanish/>
                <w:sz w:val="26"/>
                <w:szCs w:val="26"/>
              </w:rPr>
              <w:t>7</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48">
            <w:r>
              <w:rPr>
                <w:webHidden/>
                <w:rStyle w:val="Style34"/>
                <w:rFonts w:ascii="Times New Roman" w:hAnsi="Times New Roman"/>
                <w:vanish w:val="false"/>
                <w:sz w:val="26"/>
                <w:szCs w:val="26"/>
              </w:rPr>
              <w:t>3.1. Требования к проектной документации</w:t>
              <w:tab/>
            </w:r>
            <w:r>
              <w:rPr>
                <w:webHidden/>
              </w:rPr>
              <w:fldChar w:fldCharType="begin"/>
            </w:r>
            <w:r>
              <w:rPr>
                <w:webHidden/>
              </w:rPr>
              <w:instrText xml:space="preserve">PAGEREF _Toc32489348 \h</w:instrText>
            </w:r>
            <w:r>
              <w:rPr>
                <w:webHidden/>
              </w:rPr>
              <w:fldChar w:fldCharType="separate"/>
            </w:r>
            <w:r>
              <w:rPr>
                <w:rStyle w:val="Style34"/>
                <w:rFonts w:ascii="Times New Roman" w:hAnsi="Times New Roman"/>
                <w:vanish/>
                <w:sz w:val="26"/>
                <w:szCs w:val="26"/>
              </w:rPr>
              <w:t>9</w:t>
            </w:r>
            <w:r>
              <w:rPr>
                <w:webHidden/>
              </w:rPr>
              <w:fldChar w:fldCharType="end"/>
            </w:r>
          </w:hyperlink>
        </w:p>
        <w:p>
          <w:pPr>
            <w:pStyle w:val="TOC2"/>
            <w:tabs>
              <w:tab w:val="clear" w:pos="709"/>
              <w:tab w:val="left" w:pos="851" w:leader="none"/>
              <w:tab w:val="left" w:pos="1100" w:leader="none"/>
              <w:tab w:val="right" w:pos="9486" w:leader="dot"/>
            </w:tabs>
            <w:rPr>
              <w:rFonts w:ascii="Times New Roman" w:hAnsi="Times New Roman"/>
              <w:sz w:val="26"/>
              <w:szCs w:val="26"/>
            </w:rPr>
          </w:pPr>
          <w:hyperlink w:anchor="_Toc32489349">
            <w:r>
              <w:rPr>
                <w:webHidden/>
                <w:rStyle w:val="Style34"/>
                <w:rFonts w:ascii="Times New Roman" w:hAnsi="Times New Roman"/>
                <w:vanish w:val="false"/>
                <w:sz w:val="26"/>
                <w:szCs w:val="26"/>
              </w:rPr>
              <w:t>3.1.1.</w:t>
              <w:tab/>
              <w:t>Требования к проведению предпроектного обследования</w:t>
              <w:tab/>
            </w:r>
            <w:r>
              <w:rPr>
                <w:webHidden/>
              </w:rPr>
              <w:fldChar w:fldCharType="begin"/>
            </w:r>
            <w:r>
              <w:rPr>
                <w:webHidden/>
              </w:rPr>
              <w:instrText xml:space="preserve">PAGEREF _Toc32489349 \h</w:instrText>
            </w:r>
            <w:r>
              <w:rPr>
                <w:webHidden/>
              </w:rPr>
              <w:fldChar w:fldCharType="separate"/>
            </w:r>
            <w:r>
              <w:rPr>
                <w:rStyle w:val="Style34"/>
                <w:rFonts w:ascii="Times New Roman" w:hAnsi="Times New Roman"/>
                <w:vanish/>
                <w:sz w:val="26"/>
                <w:szCs w:val="26"/>
              </w:rPr>
              <w:t>11</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50">
            <w:r>
              <w:rPr>
                <w:webHidden/>
                <w:rStyle w:val="Style34"/>
                <w:rFonts w:ascii="Times New Roman" w:hAnsi="Times New Roman"/>
                <w:vanish w:val="false"/>
                <w:sz w:val="26"/>
                <w:szCs w:val="26"/>
              </w:rPr>
              <w:t>3.2.Выполнение работ по монтажу технических средств</w:t>
              <w:tab/>
            </w:r>
            <w:r>
              <w:rPr>
                <w:webHidden/>
              </w:rPr>
              <w:fldChar w:fldCharType="begin"/>
            </w:r>
            <w:r>
              <w:rPr>
                <w:webHidden/>
              </w:rPr>
              <w:instrText xml:space="preserve">PAGEREF _Toc32489350 \h</w:instrText>
            </w:r>
            <w:r>
              <w:rPr>
                <w:webHidden/>
              </w:rPr>
              <w:fldChar w:fldCharType="separate"/>
            </w:r>
            <w:r>
              <w:rPr>
                <w:rStyle w:val="Style34"/>
                <w:rFonts w:ascii="Times New Roman" w:hAnsi="Times New Roman"/>
                <w:vanish/>
                <w:sz w:val="26"/>
                <w:szCs w:val="26"/>
              </w:rPr>
              <w:t>12</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51">
            <w:r>
              <w:rPr>
                <w:webHidden/>
                <w:rStyle w:val="Style34"/>
                <w:rFonts w:ascii="Times New Roman" w:hAnsi="Times New Roman"/>
                <w:vanish w:val="false"/>
                <w:sz w:val="26"/>
                <w:szCs w:val="26"/>
              </w:rPr>
              <w:t>3.3. Проведение пусконаладочных работ, включая</w:t>
              <w:tab/>
            </w:r>
            <w:r>
              <w:rPr>
                <w:webHidden/>
              </w:rPr>
              <w:fldChar w:fldCharType="begin"/>
            </w:r>
            <w:r>
              <w:rPr>
                <w:webHidden/>
              </w:rPr>
              <w:instrText xml:space="preserve">PAGEREF _Toc32489351 \h</w:instrText>
            </w:r>
            <w:r>
              <w:rPr>
                <w:webHidden/>
              </w:rPr>
              <w:fldChar w:fldCharType="separate"/>
            </w:r>
            <w:r>
              <w:rPr>
                <w:rStyle w:val="Style34"/>
                <w:rFonts w:ascii="Times New Roman" w:hAnsi="Times New Roman"/>
                <w:vanish/>
                <w:sz w:val="26"/>
                <w:szCs w:val="26"/>
              </w:rPr>
              <w:t>12</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52">
            <w:r>
              <w:rPr>
                <w:webHidden/>
                <w:rStyle w:val="Style34"/>
                <w:rFonts w:ascii="Times New Roman" w:hAnsi="Times New Roman"/>
                <w:vanish w:val="false"/>
                <w:sz w:val="26"/>
                <w:szCs w:val="26"/>
              </w:rPr>
              <w:t>3.4. Предварительные испытания</w:t>
              <w:tab/>
            </w:r>
            <w:r>
              <w:rPr>
                <w:webHidden/>
              </w:rPr>
              <w:fldChar w:fldCharType="begin"/>
            </w:r>
            <w:r>
              <w:rPr>
                <w:webHidden/>
              </w:rPr>
              <w:instrText xml:space="preserve">PAGEREF _Toc32489352 \h</w:instrText>
            </w:r>
            <w:r>
              <w:rPr>
                <w:webHidden/>
              </w:rPr>
              <w:fldChar w:fldCharType="separate"/>
            </w:r>
            <w:r>
              <w:rPr>
                <w:rStyle w:val="Style34"/>
                <w:rFonts w:ascii="Times New Roman" w:hAnsi="Times New Roman"/>
                <w:vanish/>
                <w:sz w:val="26"/>
                <w:szCs w:val="26"/>
              </w:rPr>
              <w:t>13</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53">
            <w:r>
              <w:rPr>
                <w:webHidden/>
                <w:rStyle w:val="Style34"/>
                <w:rFonts w:ascii="Times New Roman" w:hAnsi="Times New Roman"/>
                <w:vanish w:val="false"/>
                <w:sz w:val="26"/>
                <w:szCs w:val="26"/>
              </w:rPr>
              <w:t>3.5. Опытная эксплуатация</w:t>
              <w:tab/>
            </w:r>
            <w:r>
              <w:rPr>
                <w:webHidden/>
              </w:rPr>
              <w:fldChar w:fldCharType="begin"/>
            </w:r>
            <w:r>
              <w:rPr>
                <w:webHidden/>
              </w:rPr>
              <w:instrText xml:space="preserve">PAGEREF _Toc32489353 \h</w:instrText>
            </w:r>
            <w:r>
              <w:rPr>
                <w:webHidden/>
              </w:rPr>
              <w:fldChar w:fldCharType="separate"/>
            </w:r>
            <w:r>
              <w:rPr>
                <w:rStyle w:val="Style34"/>
                <w:rFonts w:ascii="Times New Roman" w:hAnsi="Times New Roman"/>
                <w:vanish/>
                <w:sz w:val="26"/>
                <w:szCs w:val="26"/>
              </w:rPr>
              <w:t>13</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54">
            <w:r>
              <w:rPr>
                <w:webHidden/>
                <w:rStyle w:val="Style34"/>
                <w:rFonts w:ascii="Times New Roman" w:hAnsi="Times New Roman"/>
                <w:vanish w:val="false"/>
                <w:sz w:val="26"/>
                <w:szCs w:val="26"/>
              </w:rPr>
              <w:t>3.6. Приемочные испытания систем учета</w:t>
              <w:tab/>
            </w:r>
            <w:r>
              <w:rPr>
                <w:webHidden/>
              </w:rPr>
              <w:fldChar w:fldCharType="begin"/>
            </w:r>
            <w:r>
              <w:rPr>
                <w:webHidden/>
              </w:rPr>
              <w:instrText xml:space="preserve">PAGEREF _Toc32489354 \h</w:instrText>
            </w:r>
            <w:r>
              <w:rPr>
                <w:webHidden/>
              </w:rPr>
              <w:fldChar w:fldCharType="separate"/>
            </w:r>
            <w:r>
              <w:rPr>
                <w:rStyle w:val="Style34"/>
                <w:rFonts w:ascii="Times New Roman" w:hAnsi="Times New Roman"/>
                <w:vanish/>
                <w:sz w:val="26"/>
                <w:szCs w:val="26"/>
              </w:rPr>
              <w:t>14</w:t>
            </w:r>
            <w:r>
              <w:rPr>
                <w:webHidden/>
              </w:rPr>
              <w:fldChar w:fldCharType="end"/>
            </w:r>
          </w:hyperlink>
        </w:p>
        <w:p>
          <w:pPr>
            <w:pStyle w:val="TOC1"/>
            <w:tabs>
              <w:tab w:val="left" w:pos="851" w:leader="none"/>
              <w:tab w:val="right" w:pos="9628" w:leader="dot"/>
            </w:tabs>
            <w:rPr>
              <w:rFonts w:ascii="Times New Roman" w:hAnsi="Times New Roman"/>
              <w:sz w:val="26"/>
              <w:szCs w:val="26"/>
            </w:rPr>
          </w:pPr>
          <w:hyperlink w:anchor="_Toc32489355">
            <w:r>
              <w:rPr>
                <w:webHidden/>
                <w:rStyle w:val="Style34"/>
                <w:rFonts w:ascii="Times New Roman" w:hAnsi="Times New Roman"/>
                <w:vanish w:val="false"/>
                <w:sz w:val="26"/>
                <w:szCs w:val="26"/>
              </w:rPr>
              <w:t>4. Требования к системе учета электрической энергии</w:t>
              <w:tab/>
            </w:r>
            <w:r>
              <w:rPr>
                <w:webHidden/>
              </w:rPr>
              <w:fldChar w:fldCharType="begin"/>
            </w:r>
            <w:r>
              <w:rPr>
                <w:webHidden/>
              </w:rPr>
              <w:instrText xml:space="preserve">PAGEREF _Toc32489355 \h</w:instrText>
            </w:r>
            <w:r>
              <w:rPr>
                <w:webHidden/>
              </w:rPr>
              <w:fldChar w:fldCharType="separate"/>
            </w:r>
            <w:r>
              <w:rPr>
                <w:rStyle w:val="Style34"/>
                <w:rFonts w:ascii="Times New Roman" w:hAnsi="Times New Roman"/>
                <w:vanish/>
                <w:sz w:val="26"/>
                <w:szCs w:val="26"/>
              </w:rPr>
              <w:t>14</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56">
            <w:r>
              <w:rPr>
                <w:webHidden/>
                <w:rStyle w:val="Style34"/>
                <w:rFonts w:ascii="Times New Roman" w:hAnsi="Times New Roman"/>
                <w:vanish w:val="false"/>
                <w:sz w:val="26"/>
                <w:szCs w:val="26"/>
              </w:rPr>
              <w:t>4.1. Общие требования к системе учета электрической энергии</w:t>
              <w:tab/>
            </w:r>
            <w:r>
              <w:rPr>
                <w:webHidden/>
              </w:rPr>
              <w:fldChar w:fldCharType="begin"/>
            </w:r>
            <w:r>
              <w:rPr>
                <w:webHidden/>
              </w:rPr>
              <w:instrText xml:space="preserve">PAGEREF _Toc32489356 \h</w:instrText>
            </w:r>
            <w:r>
              <w:rPr>
                <w:webHidden/>
              </w:rPr>
              <w:fldChar w:fldCharType="separate"/>
            </w:r>
            <w:r>
              <w:rPr>
                <w:rStyle w:val="Style34"/>
                <w:rFonts w:ascii="Times New Roman" w:hAnsi="Times New Roman"/>
                <w:vanish/>
                <w:sz w:val="26"/>
                <w:szCs w:val="26"/>
              </w:rPr>
              <w:t>14</w:t>
            </w:r>
            <w:r>
              <w:rPr>
                <w:webHidden/>
              </w:rPr>
              <w:fldChar w:fldCharType="end"/>
            </w:r>
          </w:hyperlink>
        </w:p>
        <w:p>
          <w:pPr>
            <w:pStyle w:val="TOC2"/>
            <w:tabs>
              <w:tab w:val="clear" w:pos="709"/>
              <w:tab w:val="left" w:pos="851" w:leader="none"/>
              <w:tab w:val="right" w:pos="9486" w:leader="dot"/>
            </w:tabs>
            <w:rPr>
              <w:rFonts w:ascii="Times New Roman" w:hAnsi="Times New Roman"/>
              <w:sz w:val="26"/>
              <w:szCs w:val="26"/>
            </w:rPr>
          </w:pPr>
          <w:hyperlink w:anchor="_Toc32489357">
            <w:r>
              <w:rPr>
                <w:webHidden/>
                <w:rStyle w:val="Style34"/>
                <w:rFonts w:ascii="Times New Roman" w:hAnsi="Times New Roman"/>
                <w:vanish w:val="false"/>
                <w:sz w:val="26"/>
                <w:szCs w:val="26"/>
              </w:rPr>
              <w:t>4.2. Требования к ИИК</w:t>
              <w:tab/>
            </w:r>
            <w:r>
              <w:rPr>
                <w:webHidden/>
              </w:rPr>
              <w:fldChar w:fldCharType="begin"/>
            </w:r>
            <w:r>
              <w:rPr>
                <w:webHidden/>
              </w:rPr>
              <w:instrText xml:space="preserve">PAGEREF _Toc32489357 \h</w:instrText>
            </w:r>
            <w:r>
              <w:rPr>
                <w:webHidden/>
              </w:rPr>
              <w:fldChar w:fldCharType="separate"/>
            </w:r>
            <w:r>
              <w:rPr>
                <w:rStyle w:val="Style34"/>
                <w:rFonts w:ascii="Times New Roman" w:hAnsi="Times New Roman"/>
                <w:vanish/>
                <w:sz w:val="26"/>
                <w:szCs w:val="26"/>
              </w:rPr>
              <w:t>16</w:t>
            </w:r>
            <w:r>
              <w:rPr>
                <w:webHidden/>
              </w:rPr>
              <w:fldChar w:fldCharType="end"/>
            </w:r>
          </w:hyperlink>
        </w:p>
        <w:p>
          <w:pPr>
            <w:pStyle w:val="TOC2"/>
            <w:tabs>
              <w:tab w:val="clear" w:pos="709"/>
              <w:tab w:val="left" w:pos="851" w:leader="none"/>
              <w:tab w:val="left" w:pos="1100" w:leader="none"/>
              <w:tab w:val="right" w:pos="9486" w:leader="dot"/>
            </w:tabs>
            <w:rPr>
              <w:rFonts w:ascii="Times New Roman" w:hAnsi="Times New Roman"/>
              <w:sz w:val="26"/>
              <w:szCs w:val="26"/>
            </w:rPr>
          </w:pPr>
          <w:hyperlink w:anchor="_Toc32489364">
            <w:r>
              <w:rPr>
                <w:webHidden/>
                <w:rStyle w:val="Style34"/>
                <w:rFonts w:ascii="Times New Roman" w:hAnsi="Times New Roman"/>
                <w:vanish w:val="false"/>
                <w:sz w:val="26"/>
                <w:szCs w:val="26"/>
                <w:lang w:bidi="en-US"/>
              </w:rPr>
              <w:t>4.2.1.</w:t>
            </w:r>
            <w:r>
              <w:rPr>
                <w:rStyle w:val="Style34"/>
                <w:rFonts w:ascii="Times New Roman" w:hAnsi="Times New Roman"/>
                <w:sz w:val="26"/>
                <w:szCs w:val="26"/>
              </w:rPr>
              <w:tab/>
            </w:r>
            <w:r>
              <w:rPr>
                <w:rStyle w:val="Style34"/>
                <w:rFonts w:ascii="Times New Roman" w:hAnsi="Times New Roman"/>
                <w:sz w:val="26"/>
                <w:szCs w:val="26"/>
                <w:lang w:bidi="en-US"/>
              </w:rPr>
              <w:t>Требования к вторичным измерительным цепям</w:t>
            </w:r>
            <w:r>
              <w:rPr>
                <w:rStyle w:val="Style34"/>
                <w:rFonts w:ascii="Times New Roman" w:hAnsi="Times New Roman"/>
                <w:sz w:val="26"/>
                <w:szCs w:val="26"/>
              </w:rPr>
              <w:tab/>
            </w:r>
            <w:r>
              <w:rPr>
                <w:webHidden/>
              </w:rPr>
              <w:fldChar w:fldCharType="begin"/>
            </w:r>
            <w:r>
              <w:rPr>
                <w:webHidden/>
              </w:rPr>
              <w:instrText xml:space="preserve">PAGEREF _Toc32489364 \h</w:instrText>
            </w:r>
            <w:r>
              <w:rPr>
                <w:webHidden/>
              </w:rPr>
              <w:fldChar w:fldCharType="separate"/>
            </w:r>
            <w:r>
              <w:rPr>
                <w:rStyle w:val="Style34"/>
                <w:rFonts w:ascii="Times New Roman" w:hAnsi="Times New Roman"/>
                <w:vanish/>
                <w:sz w:val="26"/>
                <w:szCs w:val="26"/>
              </w:rPr>
              <w:t>17</w:t>
            </w:r>
            <w:r>
              <w:rPr>
                <w:webHidden/>
              </w:rPr>
              <w:fldChar w:fldCharType="end"/>
            </w:r>
          </w:hyperlink>
        </w:p>
        <w:p>
          <w:pPr>
            <w:pStyle w:val="TOC2"/>
            <w:tabs>
              <w:tab w:val="clear" w:pos="709"/>
              <w:tab w:val="left" w:pos="851" w:leader="none"/>
              <w:tab w:val="left" w:pos="1100" w:leader="none"/>
              <w:tab w:val="right" w:pos="9486" w:leader="dot"/>
            </w:tabs>
            <w:rPr>
              <w:rFonts w:ascii="Times New Roman" w:hAnsi="Times New Roman"/>
              <w:sz w:val="26"/>
              <w:szCs w:val="26"/>
            </w:rPr>
          </w:pPr>
          <w:hyperlink w:anchor="_Toc32489365">
            <w:r>
              <w:rPr>
                <w:webHidden/>
                <w:rStyle w:val="Style34"/>
                <w:rFonts w:ascii="Times New Roman" w:hAnsi="Times New Roman"/>
                <w:vanish w:val="false"/>
                <w:sz w:val="26"/>
                <w:szCs w:val="26"/>
                <w:lang w:bidi="en-US"/>
              </w:rPr>
              <w:t>4.2.2.</w:t>
            </w:r>
            <w:r>
              <w:rPr>
                <w:rStyle w:val="Style34"/>
                <w:rFonts w:ascii="Times New Roman" w:hAnsi="Times New Roman"/>
                <w:sz w:val="26"/>
                <w:szCs w:val="26"/>
              </w:rPr>
              <w:tab/>
            </w:r>
            <w:r>
              <w:rPr>
                <w:rStyle w:val="Style34"/>
                <w:rFonts w:ascii="Times New Roman" w:hAnsi="Times New Roman"/>
                <w:sz w:val="26"/>
                <w:szCs w:val="26"/>
                <w:lang w:bidi="en-US"/>
              </w:rPr>
              <w:t>Требования к трансформаторам тока.</w:t>
            </w:r>
            <w:r>
              <w:rPr>
                <w:rStyle w:val="Style34"/>
                <w:rFonts w:ascii="Times New Roman" w:hAnsi="Times New Roman"/>
                <w:sz w:val="26"/>
                <w:szCs w:val="26"/>
              </w:rPr>
              <w:tab/>
            </w:r>
            <w:r>
              <w:rPr>
                <w:webHidden/>
              </w:rPr>
              <w:fldChar w:fldCharType="begin"/>
            </w:r>
            <w:r>
              <w:rPr>
                <w:webHidden/>
              </w:rPr>
              <w:instrText xml:space="preserve">PAGEREF _Toc32489365 \h</w:instrText>
            </w:r>
            <w:r>
              <w:rPr>
                <w:webHidden/>
              </w:rPr>
              <w:fldChar w:fldCharType="separate"/>
            </w:r>
            <w:r>
              <w:rPr>
                <w:rStyle w:val="Style34"/>
                <w:rFonts w:ascii="Times New Roman" w:hAnsi="Times New Roman"/>
                <w:vanish/>
                <w:sz w:val="26"/>
                <w:szCs w:val="26"/>
              </w:rPr>
              <w:t>18</w:t>
            </w:r>
            <w:r>
              <w:rPr>
                <w:webHidden/>
              </w:rPr>
              <w:fldChar w:fldCharType="end"/>
            </w:r>
          </w:hyperlink>
        </w:p>
        <w:p>
          <w:pPr>
            <w:pStyle w:val="TOC2"/>
            <w:tabs>
              <w:tab w:val="clear" w:pos="709"/>
              <w:tab w:val="left" w:pos="851" w:leader="none"/>
              <w:tab w:val="left" w:pos="1100" w:leader="none"/>
              <w:tab w:val="right" w:pos="9486" w:leader="dot"/>
            </w:tabs>
            <w:rPr>
              <w:rFonts w:ascii="Times New Roman" w:hAnsi="Times New Roman"/>
              <w:sz w:val="26"/>
              <w:szCs w:val="26"/>
            </w:rPr>
          </w:pPr>
          <w:hyperlink w:anchor="_Toc32489366">
            <w:r>
              <w:rPr>
                <w:webHidden/>
                <w:rStyle w:val="Style34"/>
                <w:rFonts w:ascii="Times New Roman" w:hAnsi="Times New Roman"/>
                <w:vanish w:val="false"/>
                <w:sz w:val="26"/>
                <w:szCs w:val="26"/>
                <w:lang w:bidi="en-US"/>
              </w:rPr>
              <w:t>4.2.3.</w:t>
            </w:r>
            <w:r>
              <w:rPr>
                <w:rStyle w:val="Style34"/>
                <w:rFonts w:ascii="Times New Roman" w:hAnsi="Times New Roman"/>
                <w:sz w:val="26"/>
                <w:szCs w:val="26"/>
              </w:rPr>
              <w:tab/>
            </w:r>
            <w:r>
              <w:rPr>
                <w:rStyle w:val="Style34"/>
                <w:rFonts w:ascii="Times New Roman" w:hAnsi="Times New Roman"/>
                <w:sz w:val="26"/>
                <w:szCs w:val="26"/>
                <w:lang w:bidi="en-US"/>
              </w:rPr>
              <w:t>Требования к трансформаторам напряжения.</w:t>
            </w:r>
            <w:r>
              <w:rPr>
                <w:rStyle w:val="Style34"/>
                <w:rFonts w:ascii="Times New Roman" w:hAnsi="Times New Roman"/>
                <w:sz w:val="26"/>
                <w:szCs w:val="26"/>
              </w:rPr>
              <w:tab/>
            </w:r>
            <w:r>
              <w:rPr>
                <w:webHidden/>
              </w:rPr>
              <w:fldChar w:fldCharType="begin"/>
            </w:r>
            <w:r>
              <w:rPr>
                <w:webHidden/>
              </w:rPr>
              <w:instrText xml:space="preserve">PAGEREF _Toc32489366 \h</w:instrText>
            </w:r>
            <w:r>
              <w:rPr>
                <w:webHidden/>
              </w:rPr>
              <w:fldChar w:fldCharType="separate"/>
            </w:r>
            <w:r>
              <w:rPr>
                <w:rStyle w:val="Style34"/>
                <w:rFonts w:ascii="Times New Roman" w:hAnsi="Times New Roman"/>
                <w:vanish/>
                <w:sz w:val="26"/>
                <w:szCs w:val="26"/>
              </w:rPr>
              <w:t>19</w:t>
            </w:r>
            <w:r>
              <w:rPr>
                <w:webHidden/>
              </w:rPr>
              <w:fldChar w:fldCharType="end"/>
            </w:r>
          </w:hyperlink>
        </w:p>
        <w:p>
          <w:pPr>
            <w:pStyle w:val="TOC2"/>
            <w:tabs>
              <w:tab w:val="clear" w:pos="709"/>
              <w:tab w:val="left" w:pos="851" w:leader="none"/>
              <w:tab w:val="left" w:pos="1100" w:leader="none"/>
              <w:tab w:val="right" w:pos="9486" w:leader="dot"/>
            </w:tabs>
            <w:rPr>
              <w:rFonts w:ascii="Times New Roman" w:hAnsi="Times New Roman"/>
              <w:sz w:val="26"/>
              <w:szCs w:val="26"/>
            </w:rPr>
          </w:pPr>
          <w:hyperlink w:anchor="_Toc32489367">
            <w:r>
              <w:rPr>
                <w:webHidden/>
                <w:rStyle w:val="Style34"/>
                <w:rFonts w:ascii="Times New Roman" w:hAnsi="Times New Roman"/>
                <w:vanish w:val="false"/>
                <w:sz w:val="26"/>
                <w:szCs w:val="26"/>
                <w:lang w:bidi="en-US"/>
              </w:rPr>
              <w:t>4.2.4.</w:t>
            </w:r>
            <w:r>
              <w:rPr>
                <w:rStyle w:val="Style34"/>
                <w:rFonts w:ascii="Times New Roman" w:hAnsi="Times New Roman"/>
                <w:sz w:val="26"/>
                <w:szCs w:val="26"/>
              </w:rPr>
              <w:tab/>
            </w:r>
            <w:r>
              <w:rPr>
                <w:rStyle w:val="Style34"/>
                <w:rFonts w:ascii="Times New Roman" w:hAnsi="Times New Roman"/>
                <w:sz w:val="26"/>
                <w:szCs w:val="26"/>
                <w:lang w:bidi="en-US"/>
              </w:rPr>
              <w:t>Требования к системе организации единого времени</w:t>
            </w:r>
            <w:r>
              <w:rPr>
                <w:rStyle w:val="Style34"/>
                <w:rFonts w:ascii="Times New Roman" w:hAnsi="Times New Roman"/>
                <w:sz w:val="26"/>
                <w:szCs w:val="26"/>
              </w:rPr>
              <w:tab/>
            </w:r>
            <w:r>
              <w:rPr>
                <w:webHidden/>
              </w:rPr>
              <w:fldChar w:fldCharType="begin"/>
            </w:r>
            <w:r>
              <w:rPr>
                <w:webHidden/>
              </w:rPr>
              <w:instrText xml:space="preserve">PAGEREF _Toc32489367 \h</w:instrText>
            </w:r>
            <w:r>
              <w:rPr>
                <w:webHidden/>
              </w:rPr>
              <w:fldChar w:fldCharType="separate"/>
            </w:r>
            <w:r>
              <w:rPr>
                <w:rStyle w:val="Style34"/>
                <w:rFonts w:ascii="Times New Roman" w:hAnsi="Times New Roman"/>
                <w:vanish/>
                <w:sz w:val="26"/>
                <w:szCs w:val="26"/>
              </w:rPr>
              <w:t>19</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68">
            <w:r>
              <w:rPr>
                <w:webHidden/>
                <w:rStyle w:val="Style34"/>
                <w:rFonts w:ascii="Times New Roman" w:hAnsi="Times New Roman"/>
                <w:vanish w:val="false"/>
                <w:sz w:val="26"/>
                <w:szCs w:val="26"/>
              </w:rPr>
              <w:t>4.3. Требования к ВШУ</w:t>
              <w:tab/>
            </w:r>
            <w:r>
              <w:rPr>
                <w:webHidden/>
              </w:rPr>
              <w:fldChar w:fldCharType="begin"/>
            </w:r>
            <w:r>
              <w:rPr>
                <w:webHidden/>
              </w:rPr>
              <w:instrText xml:space="preserve">PAGEREF _Toc32489368 \h</w:instrText>
            </w:r>
            <w:r>
              <w:rPr>
                <w:webHidden/>
              </w:rPr>
              <w:fldChar w:fldCharType="separate"/>
            </w:r>
            <w:r>
              <w:rPr>
                <w:rStyle w:val="Style34"/>
                <w:rFonts w:ascii="Times New Roman" w:hAnsi="Times New Roman"/>
                <w:vanish/>
                <w:sz w:val="26"/>
                <w:szCs w:val="26"/>
              </w:rPr>
              <w:t>19</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69">
            <w:r>
              <w:rPr>
                <w:webHidden/>
                <w:rStyle w:val="Style34"/>
                <w:rFonts w:ascii="Times New Roman" w:hAnsi="Times New Roman"/>
                <w:vanish w:val="false"/>
                <w:sz w:val="26"/>
                <w:szCs w:val="26"/>
              </w:rPr>
              <w:t>4.4. Требования к ИВКЭ</w:t>
              <w:tab/>
            </w:r>
            <w:r>
              <w:rPr>
                <w:webHidden/>
              </w:rPr>
              <w:fldChar w:fldCharType="begin"/>
            </w:r>
            <w:r>
              <w:rPr>
                <w:webHidden/>
              </w:rPr>
              <w:instrText xml:space="preserve">PAGEREF _Toc32489369 \h</w:instrText>
            </w:r>
            <w:r>
              <w:rPr>
                <w:webHidden/>
              </w:rPr>
              <w:fldChar w:fldCharType="separate"/>
            </w:r>
            <w:r>
              <w:rPr>
                <w:rStyle w:val="Style34"/>
                <w:rFonts w:ascii="Times New Roman" w:hAnsi="Times New Roman"/>
                <w:vanish/>
                <w:sz w:val="26"/>
                <w:szCs w:val="26"/>
              </w:rPr>
              <w:t>21</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0">
            <w:r>
              <w:rPr>
                <w:webHidden/>
                <w:rStyle w:val="Style34"/>
                <w:rFonts w:ascii="Times New Roman" w:hAnsi="Times New Roman"/>
                <w:vanish w:val="false"/>
                <w:sz w:val="26"/>
                <w:szCs w:val="26"/>
              </w:rPr>
              <w:t>4.5. Требования к монтажу и местам установки оборудования</w:t>
              <w:tab/>
            </w:r>
            <w:r>
              <w:rPr>
                <w:webHidden/>
              </w:rPr>
              <w:fldChar w:fldCharType="begin"/>
            </w:r>
            <w:r>
              <w:rPr>
                <w:webHidden/>
              </w:rPr>
              <w:instrText xml:space="preserve">PAGEREF _Toc32489370 \h</w:instrText>
            </w:r>
            <w:r>
              <w:rPr>
                <w:webHidden/>
              </w:rPr>
              <w:fldChar w:fldCharType="separate"/>
            </w:r>
            <w:r>
              <w:rPr>
                <w:rStyle w:val="Style34"/>
                <w:rFonts w:ascii="Times New Roman" w:hAnsi="Times New Roman"/>
                <w:vanish/>
                <w:sz w:val="26"/>
                <w:szCs w:val="26"/>
              </w:rPr>
              <w:t>21</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1">
            <w:r>
              <w:rPr>
                <w:webHidden/>
                <w:rStyle w:val="Style34"/>
                <w:rFonts w:ascii="Times New Roman" w:hAnsi="Times New Roman"/>
                <w:vanish w:val="false"/>
                <w:sz w:val="26"/>
                <w:szCs w:val="26"/>
              </w:rPr>
              <w:t>4.6. Требования к каналам и операторам связи</w:t>
              <w:tab/>
            </w:r>
            <w:r>
              <w:rPr>
                <w:webHidden/>
              </w:rPr>
              <w:fldChar w:fldCharType="begin"/>
            </w:r>
            <w:r>
              <w:rPr>
                <w:webHidden/>
              </w:rPr>
              <w:instrText xml:space="preserve">PAGEREF _Toc32489371 \h</w:instrText>
            </w:r>
            <w:r>
              <w:rPr>
                <w:webHidden/>
              </w:rPr>
              <w:fldChar w:fldCharType="separate"/>
            </w:r>
            <w:r>
              <w:rPr>
                <w:rStyle w:val="Style34"/>
                <w:rFonts w:ascii="Times New Roman" w:hAnsi="Times New Roman"/>
                <w:vanish/>
                <w:sz w:val="26"/>
                <w:szCs w:val="26"/>
              </w:rPr>
              <w:t>23</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2">
            <w:r>
              <w:rPr>
                <w:webHidden/>
                <w:rStyle w:val="Style34"/>
                <w:rFonts w:ascii="Times New Roman" w:hAnsi="Times New Roman"/>
                <w:vanish w:val="false"/>
                <w:sz w:val="26"/>
                <w:szCs w:val="26"/>
              </w:rPr>
              <w:t>4.7. Требования к надежности и безопасности</w:t>
              <w:tab/>
            </w:r>
            <w:r>
              <w:rPr>
                <w:webHidden/>
              </w:rPr>
              <w:fldChar w:fldCharType="begin"/>
            </w:r>
            <w:r>
              <w:rPr>
                <w:webHidden/>
              </w:rPr>
              <w:instrText xml:space="preserve">PAGEREF _Toc32489372 \h</w:instrText>
            </w:r>
            <w:r>
              <w:rPr>
                <w:webHidden/>
              </w:rPr>
              <w:fldChar w:fldCharType="separate"/>
            </w:r>
            <w:r>
              <w:rPr>
                <w:rStyle w:val="Style34"/>
                <w:rFonts w:ascii="Times New Roman" w:hAnsi="Times New Roman"/>
                <w:vanish/>
                <w:sz w:val="26"/>
                <w:szCs w:val="26"/>
              </w:rPr>
              <w:t>24</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3">
            <w:r>
              <w:rPr>
                <w:webHidden/>
                <w:rStyle w:val="Style34"/>
                <w:rFonts w:ascii="Times New Roman" w:hAnsi="Times New Roman"/>
                <w:vanish w:val="false"/>
                <w:sz w:val="26"/>
                <w:szCs w:val="26"/>
              </w:rPr>
              <w:t>4.8. Метрологические и другие требования к оборудованию</w:t>
              <w:tab/>
            </w:r>
            <w:r>
              <w:rPr>
                <w:webHidden/>
              </w:rPr>
              <w:fldChar w:fldCharType="begin"/>
            </w:r>
            <w:r>
              <w:rPr>
                <w:webHidden/>
              </w:rPr>
              <w:instrText xml:space="preserve">PAGEREF _Toc32489373 \h</w:instrText>
            </w:r>
            <w:r>
              <w:rPr>
                <w:webHidden/>
              </w:rPr>
              <w:fldChar w:fldCharType="separate"/>
            </w:r>
            <w:r>
              <w:rPr>
                <w:rStyle w:val="Style34"/>
                <w:rFonts w:ascii="Times New Roman" w:hAnsi="Times New Roman"/>
                <w:vanish/>
                <w:sz w:val="26"/>
                <w:szCs w:val="26"/>
              </w:rPr>
              <w:t>25</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4">
            <w:r>
              <w:rPr>
                <w:webHidden/>
                <w:rStyle w:val="Style34"/>
                <w:rFonts w:ascii="Times New Roman" w:hAnsi="Times New Roman"/>
                <w:vanish w:val="false"/>
                <w:sz w:val="26"/>
                <w:szCs w:val="26"/>
              </w:rPr>
              <w:t>4.9. Требования к электромагнитной совместимости</w:t>
              <w:tab/>
            </w:r>
            <w:r>
              <w:rPr>
                <w:webHidden/>
              </w:rPr>
              <w:fldChar w:fldCharType="begin"/>
            </w:r>
            <w:r>
              <w:rPr>
                <w:webHidden/>
              </w:rPr>
              <w:instrText xml:space="preserve">PAGEREF _Toc32489374 \h</w:instrText>
            </w:r>
            <w:r>
              <w:rPr>
                <w:webHidden/>
              </w:rPr>
              <w:fldChar w:fldCharType="separate"/>
            </w:r>
            <w:r>
              <w:rPr>
                <w:rStyle w:val="Style34"/>
                <w:rFonts w:ascii="Times New Roman" w:hAnsi="Times New Roman"/>
                <w:vanish/>
                <w:sz w:val="26"/>
                <w:szCs w:val="26"/>
              </w:rPr>
              <w:t>25</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5">
            <w:r>
              <w:rPr>
                <w:webHidden/>
                <w:rStyle w:val="Style34"/>
                <w:rFonts w:ascii="Times New Roman" w:hAnsi="Times New Roman"/>
                <w:vanish w:val="false"/>
                <w:sz w:val="26"/>
                <w:szCs w:val="26"/>
              </w:rPr>
              <w:t>4.10. Требования по эксплуатации, техническому обслуживанию, ремонту и хранению</w:t>
              <w:tab/>
            </w:r>
            <w:r>
              <w:rPr>
                <w:webHidden/>
              </w:rPr>
              <w:fldChar w:fldCharType="begin"/>
            </w:r>
            <w:r>
              <w:rPr>
                <w:webHidden/>
              </w:rPr>
              <w:instrText xml:space="preserve">PAGEREF _Toc32489375 \h</w:instrText>
            </w:r>
            <w:r>
              <w:rPr>
                <w:webHidden/>
              </w:rPr>
              <w:fldChar w:fldCharType="separate"/>
            </w:r>
            <w:r>
              <w:rPr>
                <w:rStyle w:val="Style34"/>
                <w:rFonts w:ascii="Times New Roman" w:hAnsi="Times New Roman"/>
                <w:vanish/>
                <w:sz w:val="26"/>
                <w:szCs w:val="26"/>
              </w:rPr>
              <w:t>25</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6">
            <w:r>
              <w:rPr>
                <w:webHidden/>
                <w:rStyle w:val="Style34"/>
                <w:rFonts w:ascii="Times New Roman" w:hAnsi="Times New Roman"/>
                <w:vanish w:val="false"/>
                <w:sz w:val="26"/>
                <w:szCs w:val="26"/>
              </w:rPr>
              <w:t>4.11. Требования к документированию</w:t>
              <w:tab/>
            </w:r>
            <w:r>
              <w:rPr>
                <w:webHidden/>
              </w:rPr>
              <w:fldChar w:fldCharType="begin"/>
            </w:r>
            <w:r>
              <w:rPr>
                <w:webHidden/>
              </w:rPr>
              <w:instrText xml:space="preserve">PAGEREF _Toc32489376 \h</w:instrText>
            </w:r>
            <w:r>
              <w:rPr>
                <w:webHidden/>
              </w:rPr>
              <w:fldChar w:fldCharType="separate"/>
            </w:r>
            <w:r>
              <w:rPr>
                <w:rStyle w:val="Style34"/>
                <w:rFonts w:ascii="Times New Roman" w:hAnsi="Times New Roman"/>
                <w:vanish/>
                <w:sz w:val="26"/>
                <w:szCs w:val="26"/>
              </w:rPr>
              <w:t>25</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7">
            <w:r>
              <w:rPr>
                <w:webHidden/>
                <w:rStyle w:val="Style34"/>
                <w:rFonts w:ascii="Times New Roman" w:hAnsi="Times New Roman"/>
                <w:vanish w:val="false"/>
                <w:sz w:val="26"/>
                <w:szCs w:val="26"/>
              </w:rPr>
              <w:t>4.12. Требования к эксплуатационной документации</w:t>
              <w:tab/>
            </w:r>
            <w:r>
              <w:rPr>
                <w:webHidden/>
              </w:rPr>
              <w:fldChar w:fldCharType="begin"/>
            </w:r>
            <w:r>
              <w:rPr>
                <w:webHidden/>
              </w:rPr>
              <w:instrText xml:space="preserve">PAGEREF _Toc32489377 \h</w:instrText>
            </w:r>
            <w:r>
              <w:rPr>
                <w:webHidden/>
              </w:rPr>
              <w:fldChar w:fldCharType="separate"/>
            </w:r>
            <w:r>
              <w:rPr>
                <w:rStyle w:val="Style34"/>
                <w:rFonts w:ascii="Times New Roman" w:hAnsi="Times New Roman"/>
                <w:vanish/>
                <w:sz w:val="26"/>
                <w:szCs w:val="26"/>
              </w:rPr>
              <w:t>26</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8">
            <w:r>
              <w:rPr>
                <w:webHidden/>
                <w:rStyle w:val="Style34"/>
                <w:rFonts w:ascii="Times New Roman" w:hAnsi="Times New Roman"/>
                <w:vanish w:val="false"/>
                <w:sz w:val="26"/>
                <w:szCs w:val="26"/>
              </w:rPr>
              <w:t>4.13. Требования к защите информации от несанкционированного доступа</w:t>
              <w:tab/>
            </w:r>
            <w:r>
              <w:rPr>
                <w:webHidden/>
              </w:rPr>
              <w:fldChar w:fldCharType="begin"/>
            </w:r>
            <w:r>
              <w:rPr>
                <w:webHidden/>
              </w:rPr>
              <w:instrText xml:space="preserve">PAGEREF _Toc32489378 \h</w:instrText>
            </w:r>
            <w:r>
              <w:rPr>
                <w:webHidden/>
              </w:rPr>
              <w:fldChar w:fldCharType="separate"/>
            </w:r>
            <w:r>
              <w:rPr>
                <w:rStyle w:val="Style34"/>
                <w:rFonts w:ascii="Times New Roman" w:hAnsi="Times New Roman"/>
                <w:vanish/>
                <w:sz w:val="26"/>
                <w:szCs w:val="26"/>
              </w:rPr>
              <w:t>26</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79">
            <w:r>
              <w:rPr>
                <w:webHidden/>
                <w:rStyle w:val="Style34"/>
                <w:rFonts w:ascii="Times New Roman" w:hAnsi="Times New Roman"/>
                <w:vanish w:val="false"/>
                <w:sz w:val="26"/>
                <w:szCs w:val="26"/>
              </w:rPr>
              <w:t>4.14. Требования к информационному обмену между уровнями системы</w:t>
              <w:tab/>
            </w:r>
            <w:r>
              <w:rPr>
                <w:webHidden/>
              </w:rPr>
              <w:fldChar w:fldCharType="begin"/>
            </w:r>
            <w:r>
              <w:rPr>
                <w:webHidden/>
              </w:rPr>
              <w:instrText xml:space="preserve">PAGEREF _Toc32489379 \h</w:instrText>
            </w:r>
            <w:r>
              <w:rPr>
                <w:webHidden/>
              </w:rPr>
              <w:fldChar w:fldCharType="separate"/>
            </w:r>
            <w:r>
              <w:rPr>
                <w:rStyle w:val="Style34"/>
                <w:rFonts w:ascii="Times New Roman" w:hAnsi="Times New Roman"/>
                <w:vanish/>
                <w:sz w:val="26"/>
                <w:szCs w:val="26"/>
              </w:rPr>
              <w:t>28</w:t>
            </w:r>
            <w:r>
              <w:rPr>
                <w:webHidden/>
              </w:rPr>
              <w:fldChar w:fldCharType="end"/>
            </w:r>
          </w:hyperlink>
        </w:p>
        <w:p>
          <w:pPr>
            <w:pStyle w:val="TOC2"/>
            <w:tabs>
              <w:tab w:val="clear" w:pos="709"/>
              <w:tab w:val="right" w:pos="9486" w:leader="dot"/>
            </w:tabs>
            <w:rPr>
              <w:rFonts w:ascii="Times New Roman" w:hAnsi="Times New Roman"/>
              <w:sz w:val="26"/>
              <w:szCs w:val="26"/>
            </w:rPr>
          </w:pPr>
          <w:hyperlink w:anchor="_Toc32489380">
            <w:r>
              <w:rPr>
                <w:webHidden/>
                <w:rStyle w:val="Style34"/>
                <w:rFonts w:ascii="Times New Roman" w:hAnsi="Times New Roman"/>
                <w:vanish w:val="false"/>
                <w:sz w:val="26"/>
                <w:szCs w:val="26"/>
              </w:rPr>
              <w:t>4.15. Требования к проведению опытной эксплуатации</w:t>
              <w:tab/>
            </w:r>
            <w:r>
              <w:rPr>
                <w:webHidden/>
              </w:rPr>
              <w:fldChar w:fldCharType="begin"/>
            </w:r>
            <w:r>
              <w:rPr>
                <w:webHidden/>
              </w:rPr>
              <w:instrText xml:space="preserve">PAGEREF _Toc32489380 \h</w:instrText>
            </w:r>
            <w:r>
              <w:rPr>
                <w:webHidden/>
              </w:rPr>
              <w:fldChar w:fldCharType="separate"/>
            </w:r>
            <w:r>
              <w:rPr>
                <w:rStyle w:val="Style34"/>
                <w:rFonts w:ascii="Times New Roman" w:hAnsi="Times New Roman"/>
                <w:vanish/>
                <w:sz w:val="26"/>
                <w:szCs w:val="26"/>
              </w:rPr>
              <w:t>28</w:t>
            </w:r>
            <w:r>
              <w:rPr>
                <w:webHidden/>
              </w:rPr>
              <w:fldChar w:fldCharType="end"/>
            </w:r>
          </w:hyperlink>
        </w:p>
        <w:p>
          <w:pPr>
            <w:pStyle w:val="TOC1"/>
            <w:rPr>
              <w:rFonts w:ascii="Times New Roman" w:hAnsi="Times New Roman"/>
              <w:sz w:val="26"/>
              <w:szCs w:val="26"/>
            </w:rPr>
          </w:pPr>
          <w:hyperlink w:anchor="_Toc32489381">
            <w:r>
              <w:rPr>
                <w:webHidden/>
                <w:rStyle w:val="Style34"/>
                <w:rFonts w:ascii="Times New Roman" w:hAnsi="Times New Roman"/>
                <w:vanish w:val="false"/>
                <w:sz w:val="26"/>
                <w:szCs w:val="26"/>
              </w:rPr>
              <w:t>5. Требования по стандартизации и унификации</w:t>
              <w:tab/>
            </w:r>
            <w:r>
              <w:rPr>
                <w:webHidden/>
              </w:rPr>
              <w:fldChar w:fldCharType="begin"/>
            </w:r>
            <w:r>
              <w:rPr>
                <w:webHidden/>
              </w:rPr>
              <w:instrText xml:space="preserve">PAGEREF _Toc32489381 \h</w:instrText>
            </w:r>
            <w:r>
              <w:rPr>
                <w:webHidden/>
              </w:rPr>
              <w:fldChar w:fldCharType="separate"/>
            </w:r>
            <w:r>
              <w:rPr>
                <w:rStyle w:val="Style34"/>
                <w:rFonts w:ascii="Times New Roman" w:hAnsi="Times New Roman"/>
                <w:vanish/>
                <w:sz w:val="26"/>
                <w:szCs w:val="26"/>
              </w:rPr>
              <w:t>30</w:t>
            </w:r>
            <w:r>
              <w:rPr>
                <w:webHidden/>
              </w:rPr>
              <w:fldChar w:fldCharType="end"/>
            </w:r>
          </w:hyperlink>
        </w:p>
        <w:p>
          <w:pPr>
            <w:pStyle w:val="TOC1"/>
            <w:rPr>
              <w:rFonts w:ascii="Times New Roman" w:hAnsi="Times New Roman"/>
              <w:sz w:val="26"/>
              <w:szCs w:val="26"/>
            </w:rPr>
          </w:pPr>
          <w:hyperlink w:anchor="_Toc32489382">
            <w:r>
              <w:rPr>
                <w:webHidden/>
                <w:rStyle w:val="Style34"/>
                <w:rFonts w:ascii="Times New Roman" w:hAnsi="Times New Roman"/>
                <w:vanish w:val="false"/>
                <w:sz w:val="26"/>
                <w:szCs w:val="26"/>
              </w:rPr>
              <w:t>6. Гарантийные обязательства</w:t>
              <w:tab/>
            </w:r>
            <w:r>
              <w:rPr>
                <w:webHidden/>
              </w:rPr>
              <w:fldChar w:fldCharType="begin"/>
            </w:r>
            <w:r>
              <w:rPr>
                <w:webHidden/>
              </w:rPr>
              <w:instrText xml:space="preserve">PAGEREF _Toc32489382 \h</w:instrText>
            </w:r>
            <w:r>
              <w:rPr>
                <w:webHidden/>
              </w:rPr>
              <w:fldChar w:fldCharType="separate"/>
            </w:r>
            <w:r>
              <w:rPr>
                <w:rStyle w:val="Style34"/>
                <w:rFonts w:ascii="Times New Roman" w:hAnsi="Times New Roman"/>
                <w:vanish/>
                <w:sz w:val="26"/>
                <w:szCs w:val="26"/>
              </w:rPr>
              <w:t>31</w:t>
            </w:r>
            <w:r>
              <w:rPr>
                <w:webHidden/>
              </w:rPr>
              <w:fldChar w:fldCharType="end"/>
            </w:r>
          </w:hyperlink>
        </w:p>
        <w:p>
          <w:pPr>
            <w:pStyle w:val="TOC1"/>
            <w:rPr>
              <w:rFonts w:ascii="Times New Roman" w:hAnsi="Times New Roman"/>
              <w:sz w:val="26"/>
              <w:szCs w:val="26"/>
            </w:rPr>
          </w:pPr>
          <w:hyperlink w:anchor="_Toc32489383">
            <w:r>
              <w:rPr>
                <w:webHidden/>
                <w:rStyle w:val="Style34"/>
                <w:rFonts w:ascii="Times New Roman" w:hAnsi="Times New Roman"/>
                <w:vanish w:val="false"/>
                <w:sz w:val="26"/>
                <w:szCs w:val="26"/>
              </w:rPr>
              <w:t>7. Особые условия</w:t>
              <w:tab/>
            </w:r>
            <w:r>
              <w:rPr>
                <w:webHidden/>
              </w:rPr>
              <w:fldChar w:fldCharType="begin"/>
            </w:r>
            <w:r>
              <w:rPr>
                <w:webHidden/>
              </w:rPr>
              <w:instrText xml:space="preserve">PAGEREF _Toc32489383 \h</w:instrText>
            </w:r>
            <w:r>
              <w:rPr>
                <w:webHidden/>
              </w:rPr>
              <w:fldChar w:fldCharType="separate"/>
            </w:r>
            <w:r>
              <w:rPr>
                <w:rStyle w:val="Style34"/>
                <w:rFonts w:ascii="Times New Roman" w:hAnsi="Times New Roman"/>
                <w:vanish/>
                <w:sz w:val="26"/>
                <w:szCs w:val="26"/>
              </w:rPr>
              <w:t>32</w:t>
            </w:r>
            <w:r>
              <w:rPr>
                <w:webHidden/>
              </w:rPr>
              <w:fldChar w:fldCharType="end"/>
            </w:r>
          </w:hyperlink>
        </w:p>
        <w:p>
          <w:pPr>
            <w:pStyle w:val="TOC1"/>
            <w:rPr>
              <w:rFonts w:ascii="Times New Roman" w:hAnsi="Times New Roman"/>
              <w:sz w:val="26"/>
              <w:szCs w:val="26"/>
            </w:rPr>
          </w:pPr>
          <w:hyperlink w:anchor="_Toc32489384">
            <w:r>
              <w:rPr>
                <w:webHidden/>
                <w:rStyle w:val="Style34"/>
                <w:rFonts w:ascii="Times New Roman" w:hAnsi="Times New Roman"/>
                <w:vanish w:val="false"/>
                <w:sz w:val="26"/>
                <w:szCs w:val="26"/>
              </w:rPr>
              <w:t>8. По техническим условиям выполнения работ обращаться:</w:t>
              <w:tab/>
            </w:r>
            <w:r>
              <w:rPr>
                <w:webHidden/>
              </w:rPr>
              <w:fldChar w:fldCharType="begin"/>
            </w:r>
            <w:r>
              <w:rPr>
                <w:webHidden/>
              </w:rPr>
              <w:instrText xml:space="preserve">PAGEREF _Toc32489384 \h</w:instrText>
            </w:r>
            <w:r>
              <w:rPr>
                <w:webHidden/>
              </w:rPr>
              <w:fldChar w:fldCharType="separate"/>
            </w:r>
            <w:r>
              <w:rPr>
                <w:rStyle w:val="Style34"/>
                <w:rFonts w:ascii="Times New Roman" w:hAnsi="Times New Roman"/>
                <w:vanish/>
                <w:sz w:val="26"/>
                <w:szCs w:val="26"/>
              </w:rPr>
              <w:t>32</w:t>
            </w:r>
            <w:r>
              <w:rPr>
                <w:webHidden/>
              </w:rPr>
              <w:fldChar w:fldCharType="end"/>
            </w:r>
          </w:hyperlink>
        </w:p>
        <w:p>
          <w:pPr>
            <w:pStyle w:val="TOC1"/>
            <w:rPr/>
          </w:pPr>
          <w:hyperlink w:anchor="_Toc32489385">
            <w:r>
              <w:rPr>
                <w:webHidden/>
                <w:rStyle w:val="Style34"/>
                <w:rFonts w:ascii="Times New Roman" w:hAnsi="Times New Roman"/>
                <w:vanish w:val="false"/>
                <w:sz w:val="26"/>
                <w:szCs w:val="26"/>
              </w:rPr>
              <w:t>9. Приложения</w:t>
              <w:tab/>
            </w:r>
            <w:r>
              <w:rPr>
                <w:webHidden/>
              </w:rPr>
              <w:fldChar w:fldCharType="begin"/>
            </w:r>
            <w:r>
              <w:rPr>
                <w:webHidden/>
              </w:rPr>
              <w:instrText xml:space="preserve">PAGEREF _Toc32489385 \h</w:instrText>
            </w:r>
            <w:r>
              <w:rPr>
                <w:webHidden/>
              </w:rPr>
              <w:fldChar w:fldCharType="separate"/>
            </w:r>
            <w:r>
              <w:rPr>
                <w:rStyle w:val="Style34"/>
                <w:rFonts w:ascii="Times New Roman" w:hAnsi="Times New Roman"/>
                <w:vanish/>
                <w:sz w:val="26"/>
                <w:szCs w:val="26"/>
              </w:rPr>
              <w:t>32</w:t>
            </w:r>
            <w:r>
              <w:rPr>
                <w:webHidden/>
              </w:rPr>
              <w:fldChar w:fldCharType="end"/>
            </w:r>
          </w:hyperlink>
        </w:p>
        <w:p>
          <w:pPr>
            <w:pStyle w:val="TOC1"/>
            <w:jc w:val="left"/>
            <w:rPr>
              <w:rFonts w:ascii="Times New Roman" w:hAnsi="Times New Roman"/>
              <w:sz w:val="26"/>
              <w:szCs w:val="26"/>
            </w:rPr>
          </w:pPr>
          <w:r>
            <w:rPr/>
          </w:r>
          <w:r>
            <w:rPr/>
            <w:fldChar w:fldCharType="end"/>
          </w:r>
        </w:p>
      </w:sdtContent>
    </w:sdt>
    <w:p>
      <w:pPr>
        <w:pStyle w:val="TOC1"/>
        <w:rPr>
          <w:rFonts w:ascii="Times New Roman" w:hAnsi="Times New Roman"/>
          <w:sz w:val="26"/>
          <w:szCs w:val="26"/>
        </w:rPr>
      </w:pPr>
      <w:r>
        <w:rPr>
          <w:rFonts w:ascii="Times New Roman" w:hAnsi="Times New Roman"/>
          <w:sz w:val="26"/>
          <w:szCs w:val="26"/>
        </w:rPr>
      </w:r>
    </w:p>
    <w:p>
      <w:pPr>
        <w:pStyle w:val="Normal"/>
        <w:rPr/>
      </w:pPr>
      <w:r>
        <w:rPr/>
      </w:r>
    </w:p>
    <w:sdt>
      <w:sdtPr>
        <w:docPartObj>
          <w:docPartGallery w:val="Table of Contents"/>
          <w:docPartUnique w:val="true"/>
        </w:docPartObj>
      </w:sdtPr>
      <w:sdtContent>
        <w:p>
          <w:pPr>
            <w:pStyle w:val="TOC1"/>
            <w:rPr>
              <w:sz w:val="26"/>
              <w:szCs w:val="26"/>
            </w:rPr>
          </w:pPr>
          <w:r>
            <w:rPr>
              <w:sz w:val="26"/>
              <w:szCs w:val="26"/>
            </w:rPr>
          </w:r>
        </w:p>
      </w:sdtContent>
    </w:sdt>
    <w:p>
      <w:pPr>
        <w:pStyle w:val="19"/>
        <w:numPr>
          <w:ilvl w:val="0"/>
          <w:numId w:val="0"/>
        </w:numPr>
        <w:ind w:hanging="0" w:left="0"/>
        <w:jc w:val="center"/>
        <w:rPr>
          <w:b/>
          <w:sz w:val="26"/>
          <w:szCs w:val="26"/>
        </w:rPr>
      </w:pPr>
      <w:r>
        <w:rPr>
          <w:b/>
          <w:sz w:val="26"/>
          <w:szCs w:val="26"/>
        </w:rPr>
      </w:r>
      <w:r>
        <w:br w:type="page"/>
      </w:r>
    </w:p>
    <w:p>
      <w:pPr>
        <w:pStyle w:val="Normal"/>
        <w:numPr>
          <w:ilvl w:val="0"/>
          <w:numId w:val="0"/>
        </w:numPr>
        <w:spacing w:before="0" w:after="0"/>
        <w:ind w:hanging="0" w:left="0"/>
        <w:jc w:val="center"/>
        <w:rPr>
          <w:b/>
          <w:sz w:val="26"/>
          <w:szCs w:val="26"/>
        </w:rPr>
      </w:pPr>
      <w:r>
        <w:rPr>
          <w:b/>
          <w:sz w:val="26"/>
          <w:szCs w:val="26"/>
        </w:rPr>
        <w:t>Условные обозначения и сокращения</w:t>
      </w:r>
    </w:p>
    <w:p>
      <w:pPr>
        <w:pStyle w:val="Normal"/>
        <w:spacing w:lineRule="auto" w:line="264"/>
        <w:jc w:val="both"/>
        <w:rPr>
          <w:sz w:val="26"/>
          <w:szCs w:val="26"/>
        </w:rPr>
      </w:pPr>
      <w:r>
        <w:rPr>
          <w:b/>
          <w:sz w:val="26"/>
          <w:szCs w:val="26"/>
        </w:rPr>
        <w:t>АРМ</w:t>
      </w:r>
      <w:r>
        <w:rPr>
          <w:sz w:val="26"/>
          <w:szCs w:val="26"/>
        </w:rPr>
        <w:t xml:space="preserve"> - автоматизированное рабочее место;</w:t>
      </w:r>
    </w:p>
    <w:p>
      <w:pPr>
        <w:pStyle w:val="Normal"/>
        <w:spacing w:lineRule="auto" w:line="264"/>
        <w:jc w:val="both"/>
        <w:rPr>
          <w:sz w:val="26"/>
          <w:szCs w:val="26"/>
        </w:rPr>
      </w:pPr>
      <w:r>
        <w:rPr>
          <w:b/>
          <w:sz w:val="26"/>
          <w:szCs w:val="26"/>
        </w:rPr>
        <w:t>АВР</w:t>
      </w:r>
      <w:r>
        <w:rPr>
          <w:sz w:val="26"/>
          <w:szCs w:val="26"/>
        </w:rPr>
        <w:t xml:space="preserve"> - автоматический ввод резерва;</w:t>
      </w:r>
    </w:p>
    <w:p>
      <w:pPr>
        <w:pStyle w:val="Normal"/>
        <w:spacing w:lineRule="auto" w:line="264"/>
        <w:jc w:val="both"/>
        <w:rPr>
          <w:sz w:val="26"/>
          <w:szCs w:val="26"/>
        </w:rPr>
      </w:pPr>
      <w:r>
        <w:rPr>
          <w:b/>
          <w:sz w:val="26"/>
          <w:szCs w:val="26"/>
        </w:rPr>
        <w:t>АСТУ</w:t>
      </w:r>
      <w:r>
        <w:rPr>
          <w:sz w:val="26"/>
          <w:szCs w:val="26"/>
        </w:rPr>
        <w:t xml:space="preserve"> - автоматизированные системы технологического управления;</w:t>
      </w:r>
    </w:p>
    <w:p>
      <w:pPr>
        <w:pStyle w:val="Normal"/>
        <w:spacing w:lineRule="auto" w:line="264"/>
        <w:jc w:val="both"/>
        <w:rPr>
          <w:sz w:val="26"/>
          <w:szCs w:val="26"/>
        </w:rPr>
      </w:pPr>
      <w:r>
        <w:rPr>
          <w:b/>
          <w:sz w:val="26"/>
          <w:szCs w:val="26"/>
        </w:rPr>
        <w:t>ВЛ</w:t>
      </w:r>
      <w:r>
        <w:rPr>
          <w:sz w:val="26"/>
          <w:szCs w:val="26"/>
        </w:rPr>
        <w:t xml:space="preserve"> - воздушная линия;</w:t>
      </w:r>
    </w:p>
    <w:p>
      <w:pPr>
        <w:pStyle w:val="Normal"/>
        <w:spacing w:lineRule="auto" w:line="264"/>
        <w:jc w:val="both"/>
        <w:rPr>
          <w:sz w:val="26"/>
          <w:szCs w:val="26"/>
        </w:rPr>
      </w:pPr>
      <w:r>
        <w:rPr>
          <w:b/>
          <w:sz w:val="26"/>
          <w:szCs w:val="26"/>
        </w:rPr>
        <w:t xml:space="preserve">ВШУ - </w:t>
      </w:r>
      <w:r>
        <w:rPr>
          <w:sz w:val="26"/>
          <w:szCs w:val="26"/>
        </w:rPr>
        <w:t>выносной шкаф учета электроэнергии;</w:t>
      </w:r>
    </w:p>
    <w:p>
      <w:pPr>
        <w:pStyle w:val="Normal"/>
        <w:spacing w:lineRule="auto" w:line="264"/>
        <w:jc w:val="both"/>
        <w:rPr>
          <w:sz w:val="26"/>
          <w:szCs w:val="26"/>
        </w:rPr>
      </w:pPr>
      <w:r>
        <w:rPr>
          <w:b/>
          <w:sz w:val="26"/>
          <w:szCs w:val="26"/>
        </w:rPr>
        <w:t>КЛ</w:t>
      </w:r>
      <w:r>
        <w:rPr>
          <w:sz w:val="26"/>
          <w:szCs w:val="26"/>
        </w:rPr>
        <w:t xml:space="preserve"> - кабельная линия;</w:t>
      </w:r>
    </w:p>
    <w:p>
      <w:pPr>
        <w:pStyle w:val="Normal"/>
        <w:spacing w:lineRule="auto" w:line="264"/>
        <w:jc w:val="both"/>
        <w:rPr>
          <w:sz w:val="26"/>
          <w:szCs w:val="26"/>
        </w:rPr>
      </w:pPr>
      <w:r>
        <w:rPr>
          <w:b/>
          <w:sz w:val="26"/>
          <w:szCs w:val="26"/>
        </w:rPr>
        <w:t>ЗИП</w:t>
      </w:r>
      <w:r>
        <w:rPr>
          <w:sz w:val="26"/>
          <w:szCs w:val="26"/>
        </w:rPr>
        <w:t xml:space="preserve"> - запасные части, инструменты, принадлежности;</w:t>
      </w:r>
    </w:p>
    <w:p>
      <w:pPr>
        <w:pStyle w:val="Normal"/>
        <w:spacing w:lineRule="auto" w:line="264"/>
        <w:jc w:val="both"/>
        <w:rPr>
          <w:sz w:val="26"/>
          <w:szCs w:val="26"/>
        </w:rPr>
      </w:pPr>
      <w:r>
        <w:rPr>
          <w:b/>
          <w:sz w:val="26"/>
          <w:szCs w:val="26"/>
        </w:rPr>
        <w:t>ИВК</w:t>
      </w:r>
      <w:r>
        <w:rPr>
          <w:sz w:val="26"/>
          <w:szCs w:val="26"/>
        </w:rPr>
        <w:t xml:space="preserve"> - информационно-вычислительный комплекс;</w:t>
      </w:r>
    </w:p>
    <w:p>
      <w:pPr>
        <w:pStyle w:val="Normal"/>
        <w:spacing w:lineRule="auto" w:line="264"/>
        <w:jc w:val="both"/>
        <w:rPr>
          <w:sz w:val="26"/>
          <w:szCs w:val="26"/>
        </w:rPr>
      </w:pPr>
      <w:r>
        <w:rPr>
          <w:b/>
          <w:sz w:val="26"/>
          <w:szCs w:val="26"/>
        </w:rPr>
        <w:t>ИВК ВУ</w:t>
      </w:r>
      <w:r>
        <w:rPr>
          <w:sz w:val="26"/>
          <w:szCs w:val="26"/>
        </w:rPr>
        <w:t xml:space="preserve"> - информационно-вычислительный комплекс верхнего уровня автоматизированной системы учета с удаленным сбором данных (ИВК «Пирамида-сети»);</w:t>
      </w:r>
    </w:p>
    <w:p>
      <w:pPr>
        <w:pStyle w:val="Normal"/>
        <w:spacing w:lineRule="auto" w:line="264"/>
        <w:jc w:val="both"/>
        <w:rPr>
          <w:sz w:val="26"/>
          <w:szCs w:val="26"/>
        </w:rPr>
      </w:pPr>
      <w:r>
        <w:rPr>
          <w:b/>
          <w:sz w:val="26"/>
          <w:szCs w:val="26"/>
        </w:rPr>
        <w:t>ИВКЭ</w:t>
      </w:r>
      <w:r>
        <w:rPr>
          <w:sz w:val="26"/>
          <w:szCs w:val="26"/>
        </w:rPr>
        <w:t xml:space="preserve"> - информационно-вычислительный комплекс электроустановки (УСПД) автоматизированной системы учета с удаленным сбором данных;</w:t>
      </w:r>
    </w:p>
    <w:p>
      <w:pPr>
        <w:pStyle w:val="Normal"/>
        <w:spacing w:lineRule="auto" w:line="264"/>
        <w:jc w:val="both"/>
        <w:rPr>
          <w:sz w:val="26"/>
          <w:szCs w:val="26"/>
        </w:rPr>
      </w:pPr>
      <w:r>
        <w:rPr>
          <w:b/>
          <w:sz w:val="26"/>
          <w:szCs w:val="26"/>
        </w:rPr>
        <w:t>ИИК</w:t>
      </w:r>
      <w:r>
        <w:rPr>
          <w:sz w:val="26"/>
          <w:szCs w:val="26"/>
        </w:rPr>
        <w:t xml:space="preserve"> - измерительно-информационный комплекс точки учета;</w:t>
      </w:r>
    </w:p>
    <w:p>
      <w:pPr>
        <w:pStyle w:val="Normal"/>
        <w:spacing w:lineRule="auto" w:line="264"/>
        <w:jc w:val="both"/>
        <w:rPr>
          <w:b/>
          <w:sz w:val="26"/>
          <w:szCs w:val="26"/>
        </w:rPr>
      </w:pPr>
      <w:r>
        <w:rPr>
          <w:b/>
          <w:sz w:val="26"/>
          <w:szCs w:val="26"/>
        </w:rPr>
        <w:t xml:space="preserve">АИС «ИСУР» </w:t>
      </w:r>
      <w:r>
        <w:rPr>
          <w:sz w:val="26"/>
          <w:szCs w:val="26"/>
        </w:rPr>
        <w:t>-</w:t>
      </w:r>
      <w:r>
        <w:rPr>
          <w:b/>
          <w:sz w:val="26"/>
          <w:szCs w:val="26"/>
        </w:rPr>
        <w:t xml:space="preserve"> </w:t>
      </w:r>
      <w:r>
        <w:rPr>
          <w:sz w:val="26"/>
          <w:szCs w:val="26"/>
        </w:rPr>
        <w:t>информационная система управления работами;</w:t>
      </w:r>
    </w:p>
    <w:p>
      <w:pPr>
        <w:pStyle w:val="Normal"/>
        <w:spacing w:lineRule="auto" w:line="264"/>
        <w:jc w:val="both"/>
        <w:rPr>
          <w:sz w:val="26"/>
          <w:szCs w:val="26"/>
        </w:rPr>
      </w:pPr>
      <w:r>
        <w:rPr>
          <w:b/>
          <w:sz w:val="26"/>
          <w:szCs w:val="26"/>
        </w:rPr>
        <w:t>МРСК</w:t>
      </w:r>
      <w:r>
        <w:rPr>
          <w:sz w:val="26"/>
          <w:szCs w:val="26"/>
        </w:rPr>
        <w:t xml:space="preserve"> - межрегиональная распределительная сетевая компания; </w:t>
      </w:r>
    </w:p>
    <w:p>
      <w:pPr>
        <w:pStyle w:val="Normal"/>
        <w:spacing w:lineRule="auto" w:line="264"/>
        <w:jc w:val="both"/>
        <w:rPr>
          <w:sz w:val="26"/>
          <w:szCs w:val="26"/>
        </w:rPr>
      </w:pPr>
      <w:r>
        <w:rPr>
          <w:b/>
          <w:sz w:val="26"/>
          <w:szCs w:val="26"/>
        </w:rPr>
        <w:t>МЭК</w:t>
      </w:r>
      <w:r>
        <w:rPr>
          <w:sz w:val="26"/>
          <w:szCs w:val="26"/>
        </w:rPr>
        <w:t xml:space="preserve"> - международная электротехническая комиссия;</w:t>
      </w:r>
    </w:p>
    <w:p>
      <w:pPr>
        <w:pStyle w:val="Normal"/>
        <w:spacing w:lineRule="auto" w:line="264"/>
        <w:jc w:val="both"/>
        <w:rPr>
          <w:sz w:val="26"/>
          <w:szCs w:val="26"/>
        </w:rPr>
      </w:pPr>
      <w:r>
        <w:rPr>
          <w:b/>
          <w:sz w:val="26"/>
          <w:szCs w:val="26"/>
        </w:rPr>
        <w:t>ОИК</w:t>
      </w:r>
      <w:r>
        <w:rPr>
          <w:sz w:val="26"/>
          <w:szCs w:val="26"/>
        </w:rPr>
        <w:t xml:space="preserve"> - оперативно-информационный комплекс (ИК «ОИК Диспетчер»);</w:t>
      </w:r>
    </w:p>
    <w:p>
      <w:pPr>
        <w:pStyle w:val="Normal"/>
        <w:spacing w:lineRule="auto" w:line="264"/>
        <w:jc w:val="both"/>
        <w:rPr>
          <w:sz w:val="26"/>
          <w:szCs w:val="26"/>
        </w:rPr>
      </w:pPr>
      <w:r>
        <w:rPr>
          <w:b/>
          <w:sz w:val="26"/>
          <w:szCs w:val="26"/>
        </w:rPr>
        <w:t xml:space="preserve">ПД – </w:t>
      </w:r>
      <w:r>
        <w:rPr>
          <w:sz w:val="26"/>
          <w:szCs w:val="26"/>
        </w:rPr>
        <w:t>проектная документация (включая рабочую документацию);</w:t>
      </w:r>
    </w:p>
    <w:p>
      <w:pPr>
        <w:pStyle w:val="Normal"/>
        <w:spacing w:lineRule="auto" w:line="264"/>
        <w:jc w:val="both"/>
        <w:rPr>
          <w:sz w:val="26"/>
          <w:szCs w:val="26"/>
        </w:rPr>
      </w:pPr>
      <w:r>
        <w:rPr>
          <w:b/>
          <w:sz w:val="26"/>
          <w:szCs w:val="26"/>
        </w:rPr>
        <w:t>ПМИ</w:t>
      </w:r>
      <w:r>
        <w:rPr>
          <w:sz w:val="26"/>
          <w:szCs w:val="26"/>
        </w:rPr>
        <w:t xml:space="preserve"> - программа и методика испытаний;</w:t>
      </w:r>
    </w:p>
    <w:p>
      <w:pPr>
        <w:pStyle w:val="Normal"/>
        <w:spacing w:lineRule="auto" w:line="264"/>
        <w:jc w:val="both"/>
        <w:rPr>
          <w:sz w:val="26"/>
          <w:szCs w:val="26"/>
        </w:rPr>
      </w:pPr>
      <w:r>
        <w:rPr>
          <w:b/>
          <w:sz w:val="26"/>
          <w:szCs w:val="26"/>
        </w:rPr>
        <w:t>ПО</w:t>
      </w:r>
      <w:r>
        <w:rPr>
          <w:sz w:val="26"/>
          <w:szCs w:val="26"/>
        </w:rPr>
        <w:t xml:space="preserve"> - программное обеспечение;</w:t>
      </w:r>
    </w:p>
    <w:p>
      <w:pPr>
        <w:pStyle w:val="Normal"/>
        <w:spacing w:lineRule="auto" w:line="264"/>
        <w:jc w:val="both"/>
        <w:rPr>
          <w:sz w:val="26"/>
          <w:szCs w:val="26"/>
        </w:rPr>
      </w:pPr>
      <w:r>
        <w:rPr>
          <w:b/>
          <w:sz w:val="26"/>
          <w:szCs w:val="26"/>
        </w:rPr>
        <w:t>ППО</w:t>
      </w:r>
      <w:r>
        <w:rPr>
          <w:sz w:val="26"/>
          <w:szCs w:val="26"/>
        </w:rPr>
        <w:t xml:space="preserve"> - предпроектное обследование;</w:t>
      </w:r>
    </w:p>
    <w:p>
      <w:pPr>
        <w:pStyle w:val="Normal"/>
        <w:spacing w:lineRule="auto" w:line="264"/>
        <w:jc w:val="both"/>
        <w:rPr>
          <w:sz w:val="26"/>
          <w:szCs w:val="26"/>
        </w:rPr>
      </w:pPr>
      <w:r>
        <w:rPr>
          <w:b/>
          <w:sz w:val="26"/>
          <w:szCs w:val="26"/>
        </w:rPr>
        <w:t>ПУ</w:t>
      </w:r>
      <w:r>
        <w:rPr>
          <w:sz w:val="26"/>
          <w:szCs w:val="26"/>
        </w:rPr>
        <w:t xml:space="preserve"> – прибор учета электроэнергии;</w:t>
      </w:r>
    </w:p>
    <w:p>
      <w:pPr>
        <w:pStyle w:val="Normal"/>
        <w:spacing w:lineRule="auto" w:line="264"/>
        <w:jc w:val="both"/>
        <w:rPr>
          <w:sz w:val="26"/>
          <w:szCs w:val="26"/>
        </w:rPr>
      </w:pPr>
      <w:r>
        <w:rPr>
          <w:b/>
          <w:sz w:val="26"/>
          <w:szCs w:val="26"/>
        </w:rPr>
        <w:t>РД</w:t>
      </w:r>
      <w:r>
        <w:rPr>
          <w:sz w:val="26"/>
          <w:szCs w:val="26"/>
        </w:rPr>
        <w:t xml:space="preserve"> - рабочая документация;</w:t>
      </w:r>
    </w:p>
    <w:p>
      <w:pPr>
        <w:pStyle w:val="Normal"/>
        <w:spacing w:lineRule="auto" w:line="264"/>
        <w:jc w:val="both"/>
        <w:rPr/>
      </w:pPr>
      <w:r>
        <w:rPr>
          <w:b/>
        </w:rPr>
        <w:t xml:space="preserve">СКЗИ - </w:t>
      </w:r>
      <w:r>
        <w:rPr/>
        <w:t>средства криптографической защиты информации;</w:t>
      </w:r>
    </w:p>
    <w:p>
      <w:pPr>
        <w:pStyle w:val="Normal"/>
        <w:spacing w:lineRule="auto" w:line="264"/>
        <w:jc w:val="both"/>
        <w:rPr>
          <w:sz w:val="26"/>
          <w:szCs w:val="26"/>
        </w:rPr>
      </w:pPr>
      <w:r>
        <w:rPr>
          <w:b/>
          <w:sz w:val="26"/>
          <w:szCs w:val="26"/>
        </w:rPr>
        <w:t>ТЗ</w:t>
      </w:r>
      <w:r>
        <w:rPr>
          <w:sz w:val="26"/>
          <w:szCs w:val="26"/>
        </w:rPr>
        <w:t xml:space="preserve"> - техническое задание;</w:t>
      </w:r>
    </w:p>
    <w:p>
      <w:pPr>
        <w:pStyle w:val="Normal"/>
        <w:spacing w:lineRule="auto" w:line="264"/>
        <w:jc w:val="both"/>
        <w:rPr>
          <w:sz w:val="26"/>
          <w:szCs w:val="26"/>
        </w:rPr>
      </w:pPr>
      <w:r>
        <w:rPr>
          <w:b/>
          <w:sz w:val="26"/>
          <w:szCs w:val="26"/>
        </w:rPr>
        <w:t xml:space="preserve">ТИ </w:t>
      </w:r>
      <w:r>
        <w:rPr>
          <w:sz w:val="26"/>
          <w:szCs w:val="26"/>
        </w:rPr>
        <w:t>- телеизмерение;</w:t>
      </w:r>
    </w:p>
    <w:p>
      <w:pPr>
        <w:pStyle w:val="Normal"/>
        <w:spacing w:lineRule="auto" w:line="264"/>
        <w:jc w:val="both"/>
        <w:rPr>
          <w:sz w:val="26"/>
          <w:szCs w:val="26"/>
        </w:rPr>
      </w:pPr>
      <w:r>
        <w:rPr>
          <w:b/>
          <w:sz w:val="26"/>
          <w:szCs w:val="26"/>
        </w:rPr>
        <w:t xml:space="preserve">ТС </w:t>
      </w:r>
      <w:r>
        <w:rPr>
          <w:sz w:val="26"/>
          <w:szCs w:val="26"/>
        </w:rPr>
        <w:t>- телесигнал;</w:t>
      </w:r>
    </w:p>
    <w:p>
      <w:pPr>
        <w:pStyle w:val="Normal"/>
        <w:spacing w:lineRule="auto" w:line="264"/>
        <w:jc w:val="both"/>
        <w:rPr>
          <w:b/>
          <w:sz w:val="26"/>
          <w:szCs w:val="26"/>
        </w:rPr>
      </w:pPr>
      <w:r>
        <w:rPr>
          <w:b/>
          <w:sz w:val="26"/>
          <w:szCs w:val="26"/>
        </w:rPr>
        <w:t xml:space="preserve">ТУ </w:t>
      </w:r>
      <w:r>
        <w:rPr>
          <w:sz w:val="26"/>
          <w:szCs w:val="26"/>
        </w:rPr>
        <w:t>- телеуправление;</w:t>
      </w:r>
    </w:p>
    <w:p>
      <w:pPr>
        <w:pStyle w:val="Normal"/>
        <w:spacing w:lineRule="auto" w:line="264"/>
        <w:jc w:val="both"/>
        <w:rPr>
          <w:sz w:val="26"/>
          <w:szCs w:val="26"/>
        </w:rPr>
      </w:pPr>
      <w:r>
        <w:rPr>
          <w:b/>
          <w:sz w:val="26"/>
          <w:szCs w:val="26"/>
        </w:rPr>
        <w:t>ТН</w:t>
      </w:r>
      <w:r>
        <w:rPr>
          <w:sz w:val="26"/>
          <w:szCs w:val="26"/>
        </w:rPr>
        <w:t xml:space="preserve"> - трансформатор напряжения;</w:t>
      </w:r>
    </w:p>
    <w:p>
      <w:pPr>
        <w:pStyle w:val="Normal"/>
        <w:spacing w:lineRule="auto" w:line="264"/>
        <w:jc w:val="both"/>
        <w:rPr>
          <w:sz w:val="26"/>
          <w:szCs w:val="26"/>
        </w:rPr>
      </w:pPr>
      <w:r>
        <w:rPr>
          <w:b/>
          <w:sz w:val="26"/>
          <w:szCs w:val="26"/>
        </w:rPr>
        <w:t>ТТ</w:t>
      </w:r>
      <w:r>
        <w:rPr>
          <w:sz w:val="26"/>
          <w:szCs w:val="26"/>
        </w:rPr>
        <w:t xml:space="preserve"> - трансформатор тока;</w:t>
      </w:r>
    </w:p>
    <w:p>
      <w:pPr>
        <w:pStyle w:val="Normal"/>
        <w:spacing w:lineRule="auto" w:line="264"/>
        <w:jc w:val="both"/>
        <w:rPr>
          <w:b/>
          <w:sz w:val="26"/>
          <w:szCs w:val="26"/>
        </w:rPr>
      </w:pPr>
      <w:r>
        <w:rPr>
          <w:b/>
          <w:sz w:val="26"/>
          <w:szCs w:val="26"/>
        </w:rPr>
        <w:t>ЦУС</w:t>
      </w:r>
      <w:r>
        <w:rPr>
          <w:sz w:val="26"/>
          <w:szCs w:val="26"/>
        </w:rPr>
        <w:t xml:space="preserve"> – центр управления сетями;</w:t>
      </w:r>
    </w:p>
    <w:p>
      <w:pPr>
        <w:pStyle w:val="Normal"/>
        <w:spacing w:lineRule="auto" w:line="264"/>
        <w:jc w:val="both"/>
        <w:rPr>
          <w:sz w:val="26"/>
          <w:szCs w:val="26"/>
        </w:rPr>
      </w:pPr>
      <w:r>
        <w:rPr>
          <w:b/>
          <w:sz w:val="26"/>
          <w:szCs w:val="26"/>
        </w:rPr>
        <w:t>УСПД</w:t>
      </w:r>
      <w:r>
        <w:rPr>
          <w:sz w:val="26"/>
          <w:szCs w:val="26"/>
        </w:rPr>
        <w:t xml:space="preserve"> - устройство сбора и передачи данных.</w:t>
      </w:r>
    </w:p>
    <w:p>
      <w:pPr>
        <w:pStyle w:val="Normal"/>
        <w:spacing w:lineRule="auto" w:line="264"/>
        <w:jc w:val="both"/>
        <w:rPr>
          <w:sz w:val="26"/>
          <w:szCs w:val="26"/>
        </w:rPr>
      </w:pPr>
      <w:r>
        <w:rPr>
          <w:b/>
          <w:sz w:val="26"/>
          <w:szCs w:val="26"/>
        </w:rPr>
        <w:t>Com</w:t>
      </w:r>
      <w:r>
        <w:rPr>
          <w:sz w:val="26"/>
          <w:szCs w:val="26"/>
        </w:rPr>
        <w:t xml:space="preserve"> - технологический стандарт от компании </w:t>
      </w:r>
      <w:r>
        <w:rPr>
          <w:sz w:val="26"/>
          <w:szCs w:val="26"/>
          <w:lang w:val="en-US"/>
        </w:rPr>
        <w:t>Microsoft</w:t>
      </w:r>
      <w:r>
        <w:rPr>
          <w:sz w:val="26"/>
          <w:szCs w:val="26"/>
        </w:rPr>
        <w:t>, предназначенный для создания программного обеспечения на основе взаимодействующих распределенных компонентов;</w:t>
      </w:r>
    </w:p>
    <w:p>
      <w:pPr>
        <w:pStyle w:val="Normal"/>
        <w:spacing w:lineRule="auto" w:line="264"/>
        <w:jc w:val="both"/>
        <w:rPr>
          <w:sz w:val="26"/>
          <w:szCs w:val="26"/>
        </w:rPr>
      </w:pPr>
      <w:r>
        <w:rPr>
          <w:b/>
          <w:sz w:val="26"/>
          <w:szCs w:val="26"/>
        </w:rPr>
        <w:t>DCom</w:t>
      </w:r>
      <w:r>
        <w:rPr>
          <w:sz w:val="26"/>
          <w:szCs w:val="26"/>
        </w:rPr>
        <w:t xml:space="preserve"> - распределенная </w:t>
      </w:r>
      <w:r>
        <w:rPr>
          <w:b/>
          <w:sz w:val="26"/>
          <w:szCs w:val="26"/>
          <w:lang w:val="en-US"/>
        </w:rPr>
        <w:t>Com</w:t>
      </w:r>
      <w:r>
        <w:rPr>
          <w:sz w:val="26"/>
          <w:szCs w:val="26"/>
        </w:rPr>
        <w:t xml:space="preserve"> технология;</w:t>
      </w:r>
    </w:p>
    <w:p>
      <w:pPr>
        <w:pStyle w:val="Normal"/>
        <w:spacing w:lineRule="auto" w:line="264"/>
        <w:jc w:val="both"/>
        <w:rPr>
          <w:sz w:val="26"/>
          <w:szCs w:val="26"/>
        </w:rPr>
      </w:pPr>
      <w:r>
        <w:rPr>
          <w:b/>
          <w:sz w:val="26"/>
          <w:szCs w:val="26"/>
        </w:rPr>
        <w:t>Fieldbus -</w:t>
      </w:r>
      <w:r>
        <w:rPr>
          <w:sz w:val="26"/>
          <w:szCs w:val="26"/>
        </w:rPr>
        <w:t xml:space="preserve"> промышленная сеть передачи данных;</w:t>
      </w:r>
    </w:p>
    <w:p>
      <w:pPr>
        <w:pStyle w:val="Normal"/>
        <w:spacing w:lineRule="auto" w:line="264"/>
        <w:jc w:val="both"/>
        <w:rPr>
          <w:sz w:val="26"/>
          <w:szCs w:val="26"/>
        </w:rPr>
      </w:pPr>
      <w:r>
        <w:rPr>
          <w:b/>
          <w:sz w:val="26"/>
          <w:szCs w:val="26"/>
        </w:rPr>
        <w:t>GSM</w:t>
      </w:r>
      <w:r>
        <w:rPr>
          <w:sz w:val="26"/>
          <w:szCs w:val="26"/>
        </w:rPr>
        <w:t xml:space="preserve"> - </w:t>
      </w:r>
      <w:r>
        <w:rPr>
          <w:i/>
          <w:sz w:val="26"/>
          <w:szCs w:val="26"/>
          <w:shd w:fill="FFFFFF" w:val="clear"/>
        </w:rPr>
        <w:t>Global System for Mobile Communications,</w:t>
      </w:r>
      <w:r>
        <w:rPr>
          <w:sz w:val="26"/>
          <w:szCs w:val="26"/>
        </w:rPr>
        <w:t xml:space="preserve"> цифровой стандарт подвижной радиотелефонной (сотовой) связи 2-го поколения;</w:t>
      </w:r>
    </w:p>
    <w:p>
      <w:pPr>
        <w:pStyle w:val="Normal"/>
        <w:spacing w:lineRule="auto" w:line="264"/>
        <w:jc w:val="both"/>
        <w:rPr>
          <w:sz w:val="26"/>
          <w:szCs w:val="26"/>
        </w:rPr>
      </w:pPr>
      <w:r>
        <w:rPr>
          <w:b/>
          <w:sz w:val="26"/>
          <w:szCs w:val="26"/>
        </w:rPr>
        <w:t>GPRS</w:t>
      </w:r>
      <w:r>
        <w:rPr>
          <w:sz w:val="26"/>
          <w:szCs w:val="26"/>
        </w:rPr>
        <w:t xml:space="preserve"> - </w:t>
      </w:r>
      <w:r>
        <w:rPr>
          <w:i/>
          <w:sz w:val="26"/>
          <w:szCs w:val="26"/>
          <w:shd w:fill="FFFFFF" w:val="clear"/>
        </w:rPr>
        <w:t>General Packet Radio Service,</w:t>
      </w:r>
      <w:r>
        <w:rPr>
          <w:i/>
          <w:sz w:val="26"/>
          <w:szCs w:val="26"/>
        </w:rPr>
        <w:t xml:space="preserve"> </w:t>
      </w:r>
      <w:r>
        <w:rPr>
          <w:sz w:val="26"/>
          <w:szCs w:val="26"/>
        </w:rPr>
        <w:t xml:space="preserve">технология </w:t>
      </w:r>
      <w:r>
        <w:rPr>
          <w:sz w:val="26"/>
          <w:szCs w:val="26"/>
          <w:shd w:fill="FFFFFF" w:val="clear"/>
        </w:rPr>
        <w:t>пакетной передачи данных</w:t>
      </w:r>
      <w:r>
        <w:rPr>
          <w:sz w:val="26"/>
          <w:szCs w:val="26"/>
        </w:rPr>
        <w:t xml:space="preserve"> в сети </w:t>
      </w:r>
      <w:r>
        <w:rPr>
          <w:sz w:val="26"/>
          <w:szCs w:val="26"/>
          <w:lang w:val="en-US"/>
        </w:rPr>
        <w:t>GSM</w:t>
      </w:r>
      <w:r>
        <w:rPr>
          <w:sz w:val="26"/>
          <w:szCs w:val="26"/>
        </w:rPr>
        <w:t>;</w:t>
      </w:r>
    </w:p>
    <w:p>
      <w:pPr>
        <w:pStyle w:val="Normal"/>
        <w:spacing w:lineRule="auto" w:line="264"/>
        <w:jc w:val="both"/>
        <w:rPr>
          <w:sz w:val="26"/>
          <w:szCs w:val="26"/>
        </w:rPr>
      </w:pPr>
      <w:r>
        <w:rPr>
          <w:b/>
          <w:sz w:val="26"/>
          <w:szCs w:val="26"/>
        </w:rPr>
        <w:t>PLC</w:t>
      </w:r>
      <w:r>
        <w:rPr>
          <w:sz w:val="26"/>
          <w:szCs w:val="26"/>
        </w:rPr>
        <w:t xml:space="preserve"> - </w:t>
      </w:r>
      <w:r>
        <w:rPr>
          <w:i/>
          <w:sz w:val="26"/>
          <w:szCs w:val="26"/>
          <w:lang w:val="en-US"/>
        </w:rPr>
        <w:t>Power</w:t>
      </w:r>
      <w:r>
        <w:rPr>
          <w:i/>
          <w:sz w:val="26"/>
          <w:szCs w:val="26"/>
        </w:rPr>
        <w:t xml:space="preserve"> </w:t>
      </w:r>
      <w:r>
        <w:rPr>
          <w:i/>
          <w:sz w:val="26"/>
          <w:szCs w:val="26"/>
          <w:lang w:val="en-US"/>
        </w:rPr>
        <w:t>line</w:t>
      </w:r>
      <w:r>
        <w:rPr>
          <w:i/>
          <w:sz w:val="26"/>
          <w:szCs w:val="26"/>
        </w:rPr>
        <w:t xml:space="preserve"> </w:t>
      </w:r>
      <w:r>
        <w:rPr>
          <w:i/>
          <w:sz w:val="26"/>
          <w:szCs w:val="26"/>
          <w:lang w:val="en-US"/>
        </w:rPr>
        <w:t>communication</w:t>
      </w:r>
      <w:r>
        <w:rPr>
          <w:sz w:val="26"/>
          <w:szCs w:val="26"/>
        </w:rPr>
        <w:t xml:space="preserve">, </w:t>
      </w:r>
      <w:r>
        <w:rPr>
          <w:sz w:val="26"/>
          <w:szCs w:val="26"/>
          <w:shd w:fill="FFFFFF" w:val="clear"/>
        </w:rPr>
        <w:t>технология </w:t>
      </w:r>
      <w:r>
        <w:rPr>
          <w:bCs/>
          <w:sz w:val="26"/>
          <w:szCs w:val="26"/>
          <w:shd w:fill="FFFFFF" w:val="clear"/>
        </w:rPr>
        <w:t>связи по линии электропередачи</w:t>
      </w:r>
      <w:r>
        <w:rPr>
          <w:sz w:val="26"/>
          <w:szCs w:val="26"/>
        </w:rPr>
        <w:t>;</w:t>
      </w:r>
    </w:p>
    <w:p>
      <w:pPr>
        <w:pStyle w:val="Normal"/>
        <w:spacing w:lineRule="auto" w:line="264"/>
        <w:jc w:val="both"/>
        <w:rPr>
          <w:b/>
          <w:sz w:val="26"/>
          <w:szCs w:val="26"/>
        </w:rPr>
      </w:pPr>
      <w:r>
        <w:rPr>
          <w:b/>
          <w:sz w:val="26"/>
          <w:szCs w:val="26"/>
          <w:lang w:val="en-US"/>
        </w:rPr>
        <w:t>RF</w:t>
      </w:r>
      <w:r>
        <w:rPr>
          <w:sz w:val="26"/>
          <w:szCs w:val="26"/>
        </w:rPr>
        <w:t xml:space="preserve"> – </w:t>
      </w:r>
      <w:r>
        <w:rPr>
          <w:i/>
          <w:sz w:val="26"/>
          <w:szCs w:val="26"/>
          <w:lang w:val="en-US"/>
        </w:rPr>
        <w:t>Radio</w:t>
      </w:r>
      <w:r>
        <w:rPr>
          <w:i/>
          <w:sz w:val="26"/>
          <w:szCs w:val="26"/>
        </w:rPr>
        <w:t xml:space="preserve"> </w:t>
      </w:r>
      <w:r>
        <w:rPr>
          <w:i/>
          <w:sz w:val="26"/>
          <w:szCs w:val="26"/>
          <w:lang w:val="en-US"/>
        </w:rPr>
        <w:t>frequency</w:t>
      </w:r>
      <w:r>
        <w:rPr>
          <w:sz w:val="26"/>
          <w:szCs w:val="26"/>
        </w:rPr>
        <w:t>, семейство технологий радиосвязи ближнего радиуса действия, использующих безлицензионные диапазоны частот;</w:t>
      </w:r>
    </w:p>
    <w:p>
      <w:pPr>
        <w:pStyle w:val="Normal"/>
        <w:spacing w:lineRule="auto" w:line="264"/>
        <w:jc w:val="both"/>
        <w:rPr>
          <w:sz w:val="26"/>
          <w:szCs w:val="26"/>
        </w:rPr>
      </w:pPr>
      <w:r>
        <w:rPr>
          <w:b/>
          <w:sz w:val="26"/>
          <w:szCs w:val="26"/>
        </w:rPr>
        <w:t>RS-485</w:t>
      </w:r>
      <w:r>
        <w:rPr>
          <w:sz w:val="26"/>
          <w:szCs w:val="26"/>
        </w:rPr>
        <w:t xml:space="preserve"> - стандарт передачи данных по двухпроводному полудуплексному многоточечному последовательному каналу связи;</w:t>
      </w:r>
    </w:p>
    <w:p>
      <w:pPr>
        <w:pStyle w:val="Normal"/>
        <w:spacing w:lineRule="auto" w:line="264"/>
        <w:jc w:val="both"/>
        <w:rPr>
          <w:sz w:val="26"/>
          <w:szCs w:val="26"/>
        </w:rPr>
      </w:pPr>
      <w:r>
        <w:rPr>
          <w:b/>
          <w:sz w:val="26"/>
          <w:szCs w:val="26"/>
          <w:lang w:val="en-US"/>
        </w:rPr>
        <w:t>SIM</w:t>
      </w:r>
      <w:r>
        <w:rPr>
          <w:b/>
          <w:sz w:val="26"/>
          <w:szCs w:val="26"/>
        </w:rPr>
        <w:t xml:space="preserve">-карта - </w:t>
      </w:r>
      <w:r>
        <w:rPr>
          <w:color w:val="333333"/>
          <w:sz w:val="26"/>
          <w:szCs w:val="26"/>
          <w:shd w:fill="FFFFFF" w:val="clear"/>
        </w:rPr>
        <w:t>идентификационный электронный модуль абонента сети радиотелефонной (сотовой) связи;</w:t>
      </w:r>
    </w:p>
    <w:p>
      <w:pPr>
        <w:pStyle w:val="Normal"/>
        <w:spacing w:lineRule="auto" w:line="264"/>
        <w:jc w:val="both"/>
        <w:rPr>
          <w:sz w:val="26"/>
          <w:szCs w:val="26"/>
        </w:rPr>
      </w:pPr>
      <w:r>
        <w:rPr>
          <w:b/>
          <w:sz w:val="26"/>
          <w:szCs w:val="26"/>
        </w:rPr>
        <w:t>SMTP</w:t>
      </w:r>
      <w:r>
        <w:rPr>
          <w:sz w:val="26"/>
          <w:szCs w:val="26"/>
        </w:rPr>
        <w:t xml:space="preserve"> - сетевой протокол, предназначенный для передачи электронной почты в сетях </w:t>
      </w:r>
      <w:r>
        <w:rPr>
          <w:sz w:val="26"/>
          <w:szCs w:val="26"/>
          <w:lang w:val="en-US"/>
        </w:rPr>
        <w:t>TCP</w:t>
      </w:r>
      <w:r>
        <w:rPr>
          <w:sz w:val="26"/>
          <w:szCs w:val="26"/>
        </w:rPr>
        <w:t>/</w:t>
      </w:r>
      <w:r>
        <w:rPr>
          <w:sz w:val="26"/>
          <w:szCs w:val="26"/>
          <w:lang w:val="en-US"/>
        </w:rPr>
        <w:t>IP</w:t>
      </w:r>
      <w:r>
        <w:rPr>
          <w:sz w:val="26"/>
          <w:szCs w:val="26"/>
        </w:rPr>
        <w:t>;</w:t>
      </w:r>
    </w:p>
    <w:p>
      <w:pPr>
        <w:pStyle w:val="Normal"/>
        <w:spacing w:lineRule="auto" w:line="264"/>
        <w:jc w:val="both"/>
        <w:rPr>
          <w:sz w:val="26"/>
          <w:szCs w:val="26"/>
        </w:rPr>
      </w:pPr>
      <w:r>
        <w:rPr>
          <w:b/>
          <w:sz w:val="26"/>
          <w:szCs w:val="26"/>
        </w:rPr>
        <w:t>SNMP</w:t>
      </w:r>
      <w:r>
        <w:rPr>
          <w:sz w:val="26"/>
          <w:szCs w:val="26"/>
        </w:rPr>
        <w:t xml:space="preserve"> - протокол управления сетями связи на основе архитектуры </w:t>
      </w:r>
      <w:r>
        <w:rPr>
          <w:sz w:val="26"/>
          <w:szCs w:val="26"/>
          <w:lang w:val="en-US"/>
        </w:rPr>
        <w:t>TCP</w:t>
      </w:r>
      <w:r>
        <w:rPr>
          <w:sz w:val="26"/>
          <w:szCs w:val="26"/>
        </w:rPr>
        <w:t>/</w:t>
      </w:r>
      <w:r>
        <w:rPr>
          <w:sz w:val="26"/>
          <w:szCs w:val="26"/>
          <w:lang w:val="en-US"/>
        </w:rPr>
        <w:t>IP</w:t>
      </w:r>
      <w:r>
        <w:rPr>
          <w:sz w:val="26"/>
          <w:szCs w:val="26"/>
        </w:rPr>
        <w:t>;</w:t>
      </w:r>
    </w:p>
    <w:p>
      <w:pPr>
        <w:pStyle w:val="Normal"/>
        <w:spacing w:lineRule="auto" w:line="264"/>
        <w:jc w:val="both"/>
        <w:rPr>
          <w:sz w:val="26"/>
          <w:szCs w:val="26"/>
        </w:rPr>
      </w:pPr>
      <w:r>
        <w:rPr>
          <w:b/>
          <w:sz w:val="26"/>
          <w:szCs w:val="26"/>
        </w:rPr>
        <w:t>TCP/IP</w:t>
      </w:r>
      <w:r>
        <w:rPr>
          <w:sz w:val="26"/>
          <w:szCs w:val="26"/>
        </w:rPr>
        <w:t xml:space="preserve"> - набор сетевых протоколов разных уровней модели сетевого взаимодействия, используемых в сетях;</w:t>
      </w:r>
    </w:p>
    <w:p>
      <w:pPr>
        <w:pStyle w:val="Normal"/>
        <w:spacing w:lineRule="auto" w:line="264"/>
        <w:jc w:val="both"/>
        <w:rPr>
          <w:sz w:val="26"/>
          <w:szCs w:val="26"/>
        </w:rPr>
      </w:pPr>
      <w:r>
        <w:rPr>
          <w:b/>
          <w:sz w:val="26"/>
          <w:szCs w:val="26"/>
          <w:lang w:val="en-US"/>
        </w:rPr>
        <w:t>UMTS</w:t>
      </w:r>
      <w:r>
        <w:rPr>
          <w:b/>
          <w:sz w:val="26"/>
          <w:szCs w:val="26"/>
        </w:rPr>
        <w:t xml:space="preserve"> - </w:t>
      </w:r>
      <w:r>
        <w:rPr>
          <w:i/>
          <w:sz w:val="26"/>
          <w:szCs w:val="26"/>
          <w:shd w:fill="FFFFFF" w:val="clear"/>
          <w:lang w:val="en-US"/>
        </w:rPr>
        <w:t>Universal</w:t>
      </w:r>
      <w:r>
        <w:rPr>
          <w:i/>
          <w:sz w:val="26"/>
          <w:szCs w:val="26"/>
          <w:shd w:fill="FFFFFF" w:val="clear"/>
        </w:rPr>
        <w:t xml:space="preserve"> </w:t>
      </w:r>
      <w:r>
        <w:rPr>
          <w:i/>
          <w:sz w:val="26"/>
          <w:szCs w:val="26"/>
          <w:shd w:fill="FFFFFF" w:val="clear"/>
          <w:lang w:val="en-US"/>
        </w:rPr>
        <w:t>Mobile</w:t>
      </w:r>
      <w:r>
        <w:rPr>
          <w:i/>
          <w:sz w:val="26"/>
          <w:szCs w:val="26"/>
          <w:shd w:fill="FFFFFF" w:val="clear"/>
        </w:rPr>
        <w:t xml:space="preserve"> </w:t>
      </w:r>
      <w:r>
        <w:rPr>
          <w:i/>
          <w:sz w:val="26"/>
          <w:szCs w:val="26"/>
          <w:shd w:fill="FFFFFF" w:val="clear"/>
          <w:lang w:val="en-US"/>
        </w:rPr>
        <w:t>Telecommunications</w:t>
      </w:r>
      <w:r>
        <w:rPr>
          <w:i/>
          <w:sz w:val="26"/>
          <w:szCs w:val="26"/>
          <w:shd w:fill="FFFFFF" w:val="clear"/>
        </w:rPr>
        <w:t xml:space="preserve"> </w:t>
      </w:r>
      <w:r>
        <w:rPr>
          <w:i/>
          <w:sz w:val="26"/>
          <w:szCs w:val="26"/>
          <w:shd w:fill="FFFFFF" w:val="clear"/>
          <w:lang w:val="en-US"/>
        </w:rPr>
        <w:t>System</w:t>
      </w:r>
      <w:r>
        <w:rPr>
          <w:sz w:val="26"/>
          <w:szCs w:val="26"/>
        </w:rPr>
        <w:t>, технология подвижной радиотелефонной (сотовой) связи 3-го поколения.</w:t>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Normal"/>
        <w:spacing w:lineRule="auto" w:line="264"/>
        <w:jc w:val="both"/>
        <w:rPr>
          <w:sz w:val="26"/>
          <w:szCs w:val="26"/>
        </w:rPr>
      </w:pPr>
      <w:r>
        <w:rPr>
          <w:sz w:val="26"/>
          <w:szCs w:val="26"/>
        </w:rPr>
      </w:r>
    </w:p>
    <w:p>
      <w:pPr>
        <w:pStyle w:val="Heading1"/>
        <w:spacing w:before="0" w:after="0"/>
        <w:ind w:firstLine="709"/>
        <w:rPr/>
      </w:pPr>
      <w:bookmarkStart w:id="0" w:name="_Toc32489340"/>
      <w:bookmarkStart w:id="1" w:name="_Toc32496707"/>
      <w:bookmarkStart w:id="2" w:name="_1._Общие_сведения"/>
      <w:bookmarkStart w:id="3" w:name="_Toc22937982"/>
      <w:bookmarkEnd w:id="3"/>
      <w:r>
        <w:rPr>
          <w:sz w:val="26"/>
          <w:szCs w:val="26"/>
        </w:rPr>
        <w:t>1. Общие сведения</w:t>
      </w:r>
      <w:bookmarkEnd w:id="0"/>
      <w:bookmarkEnd w:id="1"/>
      <w:bookmarkEnd w:id="2"/>
    </w:p>
    <w:p>
      <w:pPr>
        <w:pStyle w:val="2H2H2212h22RTCiz2"/>
        <w:spacing w:before="0" w:after="0"/>
        <w:ind w:firstLine="709"/>
        <w:rPr>
          <w:rFonts w:ascii="Times New Roman" w:hAnsi="Times New Roman"/>
          <w:sz w:val="26"/>
          <w:szCs w:val="26"/>
        </w:rPr>
      </w:pPr>
      <w:bookmarkStart w:id="4" w:name="_Toc22937983"/>
      <w:bookmarkStart w:id="5" w:name="_Toc32489341"/>
      <w:bookmarkStart w:id="6" w:name="_Toc32496708"/>
      <w:r>
        <w:rPr>
          <w:rFonts w:ascii="Times New Roman" w:hAnsi="Times New Roman"/>
          <w:sz w:val="26"/>
          <w:szCs w:val="26"/>
        </w:rPr>
        <w:t>1.</w:t>
      </w:r>
      <w:r>
        <w:rPr>
          <w:rFonts w:ascii="Times New Roman" w:hAnsi="Times New Roman"/>
          <w:sz w:val="26"/>
          <w:szCs w:val="26"/>
          <w:lang w:val="ru-RU"/>
        </w:rPr>
        <w:t>1</w:t>
      </w:r>
      <w:r>
        <w:rPr>
          <w:rFonts w:ascii="Times New Roman" w:hAnsi="Times New Roman"/>
          <w:sz w:val="26"/>
          <w:szCs w:val="26"/>
        </w:rPr>
        <w:t>. Наименование</w:t>
      </w:r>
      <w:bookmarkEnd w:id="4"/>
      <w:bookmarkEnd w:id="5"/>
      <w:bookmarkEnd w:id="6"/>
      <w:r>
        <w:rPr>
          <w:rFonts w:ascii="Times New Roman" w:hAnsi="Times New Roman"/>
          <w:sz w:val="26"/>
          <w:szCs w:val="26"/>
        </w:rPr>
        <w:t xml:space="preserve"> </w:t>
      </w:r>
      <w:bookmarkStart w:id="7" w:name="_Toc22937984"/>
      <w:bookmarkStart w:id="8" w:name="_Toc32489342"/>
      <w:bookmarkStart w:id="9" w:name="_Toc32496709"/>
    </w:p>
    <w:p>
      <w:pPr>
        <w:pStyle w:val="2H2H2212h22RTCiz2"/>
        <w:spacing w:before="0" w:after="0"/>
        <w:ind w:firstLine="709"/>
        <w:rPr>
          <w:rFonts w:ascii="Times New Roman" w:hAnsi="Times New Roman"/>
          <w:sz w:val="26"/>
          <w:szCs w:val="26"/>
        </w:rPr>
      </w:pPr>
      <w:r>
        <w:rPr>
          <w:rFonts w:ascii="Times New Roman" w:hAnsi="Times New Roman"/>
          <w:b w:val="false"/>
          <w:bCs w:val="false"/>
          <w:i w:val="false"/>
          <w:iCs w:val="false"/>
          <w:sz w:val="26"/>
          <w:szCs w:val="26"/>
          <w:lang w:val="ru-RU" w:eastAsia="ru-RU"/>
        </w:rPr>
        <w:t>«Установка приборов учета в соответствии с Федеральным законом от 27.12.2018 № 522-ФЗ при истечении МПИ, срока эксплуатации и при отсутствии прибора учета у потребителя класса напряжения 0,22 (0,4),  при выходе из строя прибора учета у потребителя класса напряжения 0,22 (0,4) кВ в МО г.Екатеринбург.»</w:t>
      </w:r>
    </w:p>
    <w:p>
      <w:pPr>
        <w:pStyle w:val="2H2H2212h22RTCiz2"/>
        <w:spacing w:before="0" w:after="0"/>
        <w:ind w:firstLine="709"/>
        <w:rPr>
          <w:rFonts w:ascii="Times New Roman" w:hAnsi="Times New Roman"/>
          <w:sz w:val="26"/>
          <w:szCs w:val="26"/>
        </w:rPr>
      </w:pPr>
      <w:r>
        <w:rPr>
          <w:rFonts w:ascii="Times New Roman" w:hAnsi="Times New Roman"/>
          <w:sz w:val="26"/>
          <w:szCs w:val="26"/>
        </w:rPr>
        <w:t>1.</w:t>
      </w:r>
      <w:r>
        <w:rPr>
          <w:rFonts w:ascii="Times New Roman" w:hAnsi="Times New Roman"/>
          <w:sz w:val="26"/>
          <w:szCs w:val="26"/>
          <w:lang w:val="ru-RU"/>
        </w:rPr>
        <w:t>2</w:t>
      </w:r>
      <w:r>
        <w:rPr>
          <w:rFonts w:ascii="Times New Roman" w:hAnsi="Times New Roman"/>
          <w:sz w:val="26"/>
          <w:szCs w:val="26"/>
        </w:rPr>
        <w:t>. Назначение</w:t>
      </w:r>
      <w:bookmarkEnd w:id="7"/>
      <w:bookmarkEnd w:id="8"/>
      <w:bookmarkEnd w:id="9"/>
    </w:p>
    <w:p>
      <w:pPr>
        <w:pStyle w:val="Normal"/>
        <w:ind w:firstLine="709"/>
        <w:jc w:val="both"/>
        <w:rPr>
          <w:sz w:val="26"/>
          <w:szCs w:val="26"/>
        </w:rPr>
      </w:pPr>
      <w:bookmarkStart w:id="10" w:name="_Toc22937985"/>
      <w:bookmarkStart w:id="11" w:name="_Toc32489343"/>
      <w:bookmarkStart w:id="12" w:name="_Toc32496710"/>
      <w:r>
        <w:rPr>
          <w:sz w:val="26"/>
          <w:szCs w:val="26"/>
        </w:rPr>
        <w:t xml:space="preserve">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 и мощности. Организация системы учета электроэнергии </w:t>
      </w:r>
      <w:r>
        <w:rPr>
          <w:sz w:val="26"/>
          <w:szCs w:val="26"/>
        </w:rPr>
        <w:br w:type="textWrapping" w:clear="all"/>
      </w:r>
      <w:r>
        <w:rPr>
          <w:sz w:val="26"/>
          <w:szCs w:val="26"/>
        </w:rPr>
        <w:t>с удаленным сбором данных (далее - системы учета электроэнергии) на границе балансовой принадлежности на объектах филиала АО «ЕЭСК» с потребителями [</w:t>
      </w:r>
      <w:r>
        <w:rPr>
          <w:i/>
          <w:sz w:val="26"/>
          <w:szCs w:val="26"/>
        </w:rPr>
        <w:t>юридических лиц, бытовых абонентов и т.д.</w:t>
      </w:r>
      <w:r>
        <w:rPr>
          <w:sz w:val="26"/>
          <w:szCs w:val="26"/>
        </w:rPr>
        <w:t>], в том числе для построения балансов электрической энергии и мониторинга режимов потребления. Обеспечение телеконтроля энергообъектов номинального напряжения 6-10 (20) кВ и управления ими.</w:t>
      </w:r>
    </w:p>
    <w:p>
      <w:pPr>
        <w:pStyle w:val="2H2H2212h22RTCiz2"/>
        <w:spacing w:before="0" w:after="0"/>
        <w:ind w:firstLine="709"/>
        <w:rPr>
          <w:rFonts w:ascii="Times New Roman" w:hAnsi="Times New Roman"/>
          <w:sz w:val="26"/>
          <w:szCs w:val="26"/>
        </w:rPr>
      </w:pPr>
      <w:r>
        <w:rPr>
          <w:rFonts w:ascii="Times New Roman" w:hAnsi="Times New Roman"/>
          <w:sz w:val="26"/>
          <w:szCs w:val="26"/>
        </w:rPr>
        <w:t>1.</w:t>
      </w:r>
      <w:r>
        <w:rPr>
          <w:rFonts w:ascii="Times New Roman" w:hAnsi="Times New Roman"/>
          <w:sz w:val="26"/>
          <w:szCs w:val="26"/>
          <w:lang w:val="ru-RU"/>
        </w:rPr>
        <w:t>3</w:t>
      </w:r>
      <w:r>
        <w:rPr>
          <w:rFonts w:ascii="Times New Roman" w:hAnsi="Times New Roman"/>
          <w:sz w:val="26"/>
          <w:szCs w:val="26"/>
        </w:rPr>
        <w:t>. Основание для проведения работ</w:t>
      </w:r>
      <w:bookmarkEnd w:id="10"/>
      <w:bookmarkEnd w:id="11"/>
      <w:bookmarkEnd w:id="12"/>
    </w:p>
    <w:p>
      <w:pPr>
        <w:pStyle w:val="Normal"/>
        <w:numPr>
          <w:ilvl w:val="0"/>
          <w:numId w:val="28"/>
        </w:numPr>
        <w:tabs>
          <w:tab w:val="clear" w:pos="709"/>
          <w:tab w:val="left" w:pos="993" w:leader="none"/>
        </w:tabs>
        <w:ind w:firstLine="709" w:left="0"/>
        <w:jc w:val="both"/>
        <w:rPr>
          <w:sz w:val="26"/>
          <w:szCs w:val="26"/>
        </w:rPr>
      </w:pPr>
      <w:r>
        <w:rPr>
          <w:sz w:val="26"/>
          <w:szCs w:val="26"/>
        </w:rPr>
        <w:t>Программа развития интеллектуального учета электроэнергии на розничном рынке электроэнергии филиала АО «ЕЭСК», на период с 2019 по 2030 гг.</w:t>
      </w:r>
    </w:p>
    <w:p>
      <w:pPr>
        <w:pStyle w:val="Normal"/>
        <w:numPr>
          <w:ilvl w:val="0"/>
          <w:numId w:val="28"/>
        </w:numPr>
        <w:tabs>
          <w:tab w:val="clear" w:pos="709"/>
          <w:tab w:val="left" w:pos="993" w:leader="none"/>
        </w:tabs>
        <w:ind w:firstLine="709" w:left="0"/>
        <w:jc w:val="both"/>
        <w:rPr>
          <w:sz w:val="26"/>
          <w:szCs w:val="26"/>
        </w:rPr>
      </w:pPr>
      <w:r>
        <w:rPr>
          <w:sz w:val="26"/>
          <w:szCs w:val="26"/>
        </w:rPr>
        <w:t>Инвестиционная программа АО «ЕЭСК» на 2024-2029 год.</w:t>
      </w:r>
    </w:p>
    <w:p>
      <w:pPr>
        <w:pStyle w:val="Normal"/>
        <w:numPr>
          <w:ilvl w:val="0"/>
          <w:numId w:val="28"/>
        </w:numPr>
        <w:tabs>
          <w:tab w:val="clear" w:pos="709"/>
          <w:tab w:val="left" w:pos="993" w:leader="none"/>
        </w:tabs>
        <w:ind w:firstLine="709" w:left="0"/>
        <w:jc w:val="both"/>
        <w:rPr>
          <w:sz w:val="26"/>
          <w:szCs w:val="26"/>
          <w:u w:val="single"/>
        </w:rPr>
      </w:pPr>
      <w:r>
        <w:rPr>
          <w:sz w:val="26"/>
          <w:szCs w:val="26"/>
        </w:rPr>
        <w:t>Требования Федерального закона от 27.12.2018 № 522-ФЗ (далее – 522-ФЗ) в части установки/ замены приборов учета и (или) иного оборудования, которые используются для обеспечения коммерческого учета электрической энергии (мощности), при истечении МПИ или срока эксплуатации, при отсутствии или выходе из строя.</w:t>
      </w:r>
    </w:p>
    <w:p>
      <w:pPr>
        <w:pStyle w:val="Normal"/>
        <w:ind w:firstLine="709"/>
        <w:jc w:val="both"/>
        <w:rPr>
          <w:b/>
          <w:bCs/>
          <w:i/>
          <w:i/>
          <w:iCs/>
          <w:sz w:val="26"/>
          <w:szCs w:val="26"/>
        </w:rPr>
      </w:pPr>
      <w:bookmarkStart w:id="13" w:name="_Toc22937986"/>
      <w:bookmarkStart w:id="14" w:name="_Toc32489344"/>
      <w:bookmarkStart w:id="15" w:name="_Toc32496711"/>
      <w:r>
        <w:rPr>
          <w:b/>
          <w:bCs/>
          <w:i/>
          <w:iCs/>
          <w:sz w:val="26"/>
          <w:szCs w:val="26"/>
        </w:rPr>
        <w:t>1.4. Сроки начала и окончания работ</w:t>
      </w:r>
      <w:bookmarkEnd w:id="13"/>
      <w:bookmarkEnd w:id="14"/>
      <w:bookmarkEnd w:id="15"/>
    </w:p>
    <w:p>
      <w:pPr>
        <w:pStyle w:val="Normal"/>
        <w:ind w:firstLine="709"/>
        <w:jc w:val="both"/>
        <w:rPr>
          <w:sz w:val="26"/>
          <w:szCs w:val="26"/>
        </w:rPr>
      </w:pPr>
      <w:bookmarkStart w:id="16" w:name="_Toc22937987"/>
      <w:bookmarkStart w:id="17" w:name="_Toc32489345"/>
      <w:bookmarkStart w:id="18" w:name="_Toc32496712"/>
      <w:r>
        <w:rPr>
          <w:sz w:val="26"/>
          <w:szCs w:val="26"/>
        </w:rPr>
        <w:t>- срок начала выполнения работ - с момента подписания договора;</w:t>
      </w:r>
    </w:p>
    <w:p>
      <w:pPr>
        <w:pStyle w:val="Normal"/>
        <w:ind w:firstLine="709"/>
        <w:jc w:val="both"/>
        <w:rPr>
          <w:sz w:val="26"/>
          <w:szCs w:val="26"/>
        </w:rPr>
      </w:pPr>
      <w:r>
        <w:rPr>
          <w:sz w:val="26"/>
          <w:szCs w:val="26"/>
        </w:rPr>
        <w:t>- срок окончания выполнения работ – 30.12.2026;</w:t>
      </w:r>
    </w:p>
    <w:p>
      <w:pPr>
        <w:pStyle w:val="Normal"/>
        <w:ind w:firstLine="709"/>
        <w:jc w:val="both"/>
        <w:rPr>
          <w:sz w:val="26"/>
          <w:szCs w:val="26"/>
        </w:rPr>
      </w:pPr>
      <w:r>
        <w:rPr>
          <w:sz w:val="26"/>
          <w:szCs w:val="26"/>
        </w:rPr>
        <w:t>- стадии выполнения, форма и сроки оплаты выполненных работ определяются договором.</w:t>
      </w:r>
    </w:p>
    <w:p>
      <w:pPr>
        <w:pStyle w:val="2H2H2212h22RTCiz2"/>
        <w:spacing w:before="0" w:after="0"/>
        <w:ind w:firstLine="709"/>
        <w:rPr>
          <w:rFonts w:ascii="Times New Roman" w:hAnsi="Times New Roman"/>
          <w:sz w:val="26"/>
          <w:szCs w:val="26"/>
        </w:rPr>
      </w:pPr>
      <w:r>
        <w:rPr>
          <w:rFonts w:ascii="Times New Roman" w:hAnsi="Times New Roman"/>
          <w:sz w:val="26"/>
          <w:szCs w:val="26"/>
        </w:rPr>
        <w:t>1.</w:t>
      </w:r>
      <w:r>
        <w:rPr>
          <w:rFonts w:ascii="Times New Roman" w:hAnsi="Times New Roman"/>
          <w:sz w:val="26"/>
          <w:szCs w:val="26"/>
          <w:lang w:val="ru-RU"/>
        </w:rPr>
        <w:t>5</w:t>
      </w:r>
      <w:r>
        <w:rPr>
          <w:rFonts w:ascii="Times New Roman" w:hAnsi="Times New Roman"/>
          <w:sz w:val="26"/>
          <w:szCs w:val="26"/>
        </w:rPr>
        <w:t>. Источник финансирования</w:t>
      </w:r>
      <w:bookmarkEnd w:id="16"/>
      <w:bookmarkEnd w:id="17"/>
      <w:bookmarkEnd w:id="18"/>
    </w:p>
    <w:p>
      <w:pPr>
        <w:pStyle w:val="Normal"/>
        <w:ind w:firstLine="709"/>
        <w:jc w:val="both"/>
        <w:rPr>
          <w:sz w:val="26"/>
          <w:szCs w:val="26"/>
          <w:highlight w:val="yellow"/>
        </w:rPr>
      </w:pPr>
      <w:r>
        <w:rPr>
          <w:sz w:val="26"/>
          <w:szCs w:val="26"/>
          <w:highlight w:val="white"/>
        </w:rPr>
        <w:t xml:space="preserve">№ </w:t>
      </w:r>
      <w:r>
        <w:rPr>
          <w:sz w:val="26"/>
          <w:szCs w:val="26"/>
          <w:highlight w:val="white"/>
        </w:rPr>
        <w:t>60179 закупки Программы закупок (далее - ПЗ).</w:t>
      </w:r>
    </w:p>
    <w:p>
      <w:pPr>
        <w:pStyle w:val="Normal"/>
        <w:ind w:firstLine="709"/>
        <w:jc w:val="both"/>
        <w:rPr>
          <w:b/>
          <w:bCs/>
          <w:i/>
          <w:i/>
          <w:iCs/>
          <w:sz w:val="26"/>
          <w:szCs w:val="26"/>
        </w:rPr>
      </w:pPr>
      <w:r>
        <w:rPr>
          <w:b/>
          <w:bCs/>
          <w:i/>
          <w:iCs/>
          <w:sz w:val="26"/>
          <w:szCs w:val="26"/>
        </w:rPr>
        <w:t>1.6. Технические характеристики оборудования</w:t>
      </w:r>
    </w:p>
    <w:p>
      <w:pPr>
        <w:pStyle w:val="Normal"/>
        <w:ind w:firstLine="709"/>
        <w:jc w:val="both"/>
        <w:rPr>
          <w:bCs/>
          <w:iCs/>
          <w:sz w:val="26"/>
          <w:szCs w:val="26"/>
        </w:rPr>
      </w:pPr>
      <w:r>
        <w:rPr>
          <w:bCs/>
          <w:iCs/>
          <w:sz w:val="26"/>
          <w:szCs w:val="26"/>
        </w:rPr>
        <w:t xml:space="preserve">- Технические характеристики приборов учета должны соответствовать </w:t>
      </w:r>
      <w:r>
        <w:rPr>
          <w:bCs/>
          <w:iCs/>
          <w:sz w:val="26"/>
          <w:szCs w:val="26"/>
        </w:rPr>
        <w:br w:type="textWrapping" w:clear="all"/>
      </w:r>
      <w:r>
        <w:rPr>
          <w:bCs/>
          <w:iCs/>
          <w:sz w:val="26"/>
          <w:szCs w:val="26"/>
        </w:rPr>
        <w:t>СТО 34.01-5.1-009-2024 «Приборы учета электроэнергии. Общие технические требования» (за исключением требований к заводу-изготовителю и сервисным центрам) с дополнениями (приложение 7 к ТЗ), характеристики УСПД должны соответствовать СТО 34.01-5.1-014-2025 «Устройства сбора данных учета электрической энергии (мощности). Общие технические требования»</w:t>
      </w:r>
      <w:r>
        <w:rPr>
          <w:bCs/>
          <w:iCs/>
          <w:sz w:val="26"/>
          <w:szCs w:val="26"/>
        </w:rPr>
        <w:br w:type="textWrapping" w:clear="all"/>
      </w:r>
      <w:r>
        <w:rPr>
          <w:bCs/>
          <w:iCs/>
          <w:sz w:val="26"/>
          <w:szCs w:val="26"/>
        </w:rPr>
        <w:t xml:space="preserve">(за исключением требований к заводу-изготовителю и сервисным центрам), технические характеристики ПКУ 6(10) кВ должны соответствовать СТО 34.01-5.1-008-2018 «Пункты коммерческого учета электроэнергии уровнем напряжения 6-20 кВ. общие технические требования» (характеристики приборов учета, входящих в состав ПКУ, должны соответствовать СТО 34.01-5.1-009-2024), технические характеристики шкафов учета </w:t>
      </w:r>
      <w:r>
        <w:rPr>
          <w:sz w:val="26"/>
          <w:szCs w:val="26"/>
        </w:rPr>
        <w:t>в соответствии с разделом 4 данного технического задания.</w:t>
      </w:r>
    </w:p>
    <w:p>
      <w:pPr>
        <w:pStyle w:val="Normal"/>
        <w:ind w:firstLine="709"/>
        <w:jc w:val="both"/>
        <w:rPr>
          <w:sz w:val="26"/>
          <w:szCs w:val="26"/>
        </w:rPr>
      </w:pPr>
      <w:r>
        <w:rPr>
          <w:sz w:val="26"/>
          <w:szCs w:val="26"/>
        </w:rPr>
        <w:t xml:space="preserve">К установке допускается оборудование, включенное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w:t>
      </w:r>
      <w:r>
        <w:rPr>
          <w:sz w:val="26"/>
          <w:szCs w:val="26"/>
        </w:rPr>
        <w:br w:type="textWrapping" w:clear="all"/>
      </w:r>
      <w:r>
        <w:rPr>
          <w:sz w:val="26"/>
          <w:szCs w:val="26"/>
        </w:rPr>
        <w:t>ПАО «Россети», либо допущенное к применению комиссией ПАО «Россети Урал» по допуску оборудования, материалов и систем для применения на объектах электросетевого комплекса ПАО «Россети Урал» (протокол заседания Правления ОАО «Россети» от 31.03.2014 № 225пр).</w:t>
      </w:r>
    </w:p>
    <w:p>
      <w:pPr>
        <w:pStyle w:val="Normal"/>
        <w:ind w:firstLine="709"/>
        <w:jc w:val="both"/>
        <w:rPr>
          <w:sz w:val="26"/>
          <w:szCs w:val="26"/>
        </w:rPr>
      </w:pPr>
      <w:r>
        <w:rPr>
          <w:sz w:val="26"/>
          <w:szCs w:val="26"/>
        </w:rPr>
      </w:r>
    </w:p>
    <w:p>
      <w:pPr>
        <w:pStyle w:val="Normal"/>
        <w:ind w:firstLine="709"/>
        <w:rPr>
          <w:bCs/>
          <w:iCs/>
          <w:sz w:val="26"/>
          <w:szCs w:val="26"/>
        </w:rPr>
      </w:pPr>
      <w:r>
        <w:rPr>
          <w:b/>
          <w:bCs/>
          <w:i/>
          <w:iCs/>
          <w:sz w:val="26"/>
          <w:szCs w:val="26"/>
        </w:rPr>
        <w:t xml:space="preserve">1.7. Объекты </w:t>
      </w:r>
    </w:p>
    <w:p>
      <w:pPr>
        <w:pStyle w:val="Normal"/>
        <w:ind w:firstLine="709"/>
        <w:jc w:val="both"/>
        <w:rPr>
          <w:sz w:val="26"/>
          <w:szCs w:val="26"/>
        </w:rPr>
      </w:pPr>
      <w:r>
        <w:rPr>
          <w:bCs/>
          <w:iCs/>
          <w:sz w:val="26"/>
          <w:szCs w:val="26"/>
        </w:rPr>
        <w:t>-</w:t>
      </w:r>
      <w:r>
        <w:rPr>
          <w:sz w:val="26"/>
          <w:szCs w:val="26"/>
        </w:rPr>
        <w:t> Установка систем учета электроэнергии производится на объектах, приведенных в приложении 1 к техническому заданию (таблицы 1-3).</w:t>
      </w:r>
    </w:p>
    <w:p>
      <w:pPr>
        <w:pStyle w:val="Normal"/>
        <w:widowControl/>
        <w:bidi w:val="0"/>
        <w:spacing w:before="0" w:after="0"/>
        <w:ind w:firstLine="680" w:left="0" w:right="0"/>
        <w:jc w:val="both"/>
        <w:rPr>
          <w:rFonts w:ascii="Times New Roman" w:hAnsi="Times New Roman"/>
          <w:b/>
          <w:bCs/>
          <w:i/>
          <w:i/>
          <w:iCs/>
          <w:color w:val="000000"/>
          <w:sz w:val="26"/>
          <w:szCs w:val="26"/>
          <w:highlight w:val="none"/>
        </w:rPr>
      </w:pPr>
      <w:r>
        <w:rPr>
          <w:b/>
          <w:bCs/>
          <w:i/>
          <w:iCs/>
          <w:color w:val="000000"/>
          <w:sz w:val="26"/>
          <w:szCs w:val="26"/>
        </w:rPr>
        <w:t>1.8. Прочие условия</w:t>
      </w:r>
    </w:p>
    <w:p>
      <w:pPr>
        <w:pStyle w:val="Normal"/>
        <w:widowControl w:val="false"/>
        <w:tabs>
          <w:tab w:val="clear" w:pos="709"/>
          <w:tab w:val="left" w:pos="993" w:leader="none"/>
          <w:tab w:val="left" w:pos="1134" w:leader="none"/>
        </w:tabs>
        <w:ind w:firstLine="709" w:left="0"/>
        <w:jc w:val="both"/>
        <w:rPr>
          <w:u w:val="single"/>
        </w:rPr>
      </w:pPr>
      <w:r>
        <w:rPr>
          <w:u w:val="single"/>
        </w:rPr>
        <w:t>Приборы учета электрической энергии являются давальческим оборудованием и предоставляются ПАО «Ростелеком», требования указанные в настоящем техническом задании к приборам учёта носят информационный характер.</w:t>
      </w:r>
    </w:p>
    <w:p>
      <w:pPr>
        <w:pStyle w:val="Normal"/>
        <w:ind w:firstLine="709"/>
        <w:jc w:val="both"/>
        <w:rPr/>
      </w:pPr>
      <w:r>
        <w:rPr>
          <w:b/>
          <w:bCs/>
          <w:i/>
          <w:iCs/>
          <w:sz w:val="26"/>
          <w:szCs w:val="26"/>
        </w:rPr>
        <w:t>1.9. Требования к персоналу</w:t>
      </w:r>
    </w:p>
    <w:p>
      <w:pPr>
        <w:pStyle w:val="Normal"/>
        <w:ind w:firstLine="709"/>
        <w:jc w:val="both"/>
        <w:rPr>
          <w:rFonts w:ascii="Times New Roman" w:hAnsi="Times New Roman"/>
          <w:sz w:val="26"/>
          <w:szCs w:val="26"/>
        </w:rPr>
      </w:pPr>
      <w:r>
        <w:rPr>
          <w:b/>
          <w:bCs/>
          <w:i/>
          <w:iCs/>
          <w:color w:val="000000"/>
          <w:sz w:val="26"/>
          <w:szCs w:val="26"/>
        </w:rPr>
        <w:t xml:space="preserve">- </w:t>
      </w:r>
      <w:r>
        <w:rPr>
          <w:color w:val="000000"/>
          <w:sz w:val="26"/>
          <w:szCs w:val="26"/>
        </w:rPr>
        <w:t>Для выполнения строительно-монтажных работ, не менее 8 человек:</w:t>
      </w:r>
    </w:p>
    <w:p>
      <w:pPr>
        <w:pStyle w:val="NoSpacing"/>
        <w:spacing w:before="0" w:after="0"/>
        <w:ind w:hanging="0" w:left="0" w:right="0"/>
        <w:contextualSpacing/>
        <w:jc w:val="both"/>
        <w:rPr>
          <w:rFonts w:ascii="Times New Roman" w:hAnsi="Times New Roman"/>
          <w:sz w:val="26"/>
          <w:szCs w:val="26"/>
        </w:rPr>
      </w:pPr>
      <w:r>
        <w:rPr>
          <w:color w:val="000000"/>
          <w:sz w:val="26"/>
          <w:szCs w:val="26"/>
        </w:rPr>
        <w:t xml:space="preserve">а) </w:t>
      </w:r>
      <w:r>
        <w:rPr>
          <w:rFonts w:eastAsia="SimSun"/>
          <w:sz w:val="26"/>
          <w:szCs w:val="26"/>
        </w:rPr>
        <w:t>мастер (ответственный руководитель) (с IV группой по электробезопасности) – не менее 2 человек, обладающих правом выполнения работ под напряжением (с отметкой в удостоверении о проверке знаний правил работы в электроустановках в поле «Свидетельство на право проведения специальных работ» индекса И1 и (или) И2);</w:t>
      </w:r>
    </w:p>
    <w:p>
      <w:pPr>
        <w:pStyle w:val="Normal"/>
        <w:ind w:hanging="0" w:left="0" w:right="-11"/>
        <w:jc w:val="both"/>
        <w:rPr>
          <w:rFonts w:ascii="Times New Roman" w:hAnsi="Times New Roman"/>
          <w:sz w:val="26"/>
          <w:szCs w:val="26"/>
        </w:rPr>
      </w:pPr>
      <w:r>
        <w:rPr>
          <w:color w:val="000000"/>
          <w:sz w:val="26"/>
          <w:szCs w:val="26"/>
        </w:rPr>
        <w:t xml:space="preserve">б) </w:t>
      </w:r>
      <w:r>
        <w:rPr>
          <w:rFonts w:eastAsia="SimSun"/>
          <w:sz w:val="26"/>
          <w:szCs w:val="26"/>
        </w:rPr>
        <w:t>производитель работ (допускающий) (с IV группой по электробезопасности) – не менее 2 человек, обладающих правом выполнения работ под напряжением (с отметкой в удостоверении о проверке знаний правил работы в электроустановках в поле «Свидетельство на право проведения специальных работ» индекса И1 и (или) И2);</w:t>
      </w:r>
    </w:p>
    <w:p>
      <w:pPr>
        <w:pStyle w:val="Normal"/>
        <w:ind w:hanging="0" w:left="0" w:right="-11"/>
        <w:jc w:val="both"/>
        <w:rPr>
          <w:rFonts w:ascii="Times New Roman" w:hAnsi="Times New Roman"/>
          <w:sz w:val="26"/>
          <w:szCs w:val="26"/>
        </w:rPr>
      </w:pPr>
      <w:r>
        <w:rPr>
          <w:color w:val="000000"/>
          <w:sz w:val="26"/>
          <w:szCs w:val="26"/>
        </w:rPr>
        <w:t xml:space="preserve">в) </w:t>
      </w:r>
      <w:r>
        <w:rPr>
          <w:rFonts w:eastAsia="SimSun"/>
          <w:sz w:val="26"/>
          <w:szCs w:val="26"/>
        </w:rPr>
        <w:t>электромонтажник  (не ниже III группы по электробезопасности) – не менее 4 человек, обладающих правом выполнения работ под напряжением (с отметкой в удостоверении о проверке знаний правил работы в электроустановках в поле «Свидетельство на право проведения специальных работ» индекса И1 и (или) И2);</w:t>
      </w:r>
    </w:p>
    <w:p>
      <w:pPr>
        <w:pStyle w:val="Normal"/>
        <w:ind w:hanging="0" w:left="0" w:right="-11"/>
        <w:jc w:val="both"/>
        <w:rPr>
          <w:rFonts w:ascii="Times New Roman" w:hAnsi="Times New Roman"/>
          <w:sz w:val="26"/>
          <w:szCs w:val="26"/>
        </w:rPr>
      </w:pPr>
      <w:r>
        <w:rPr>
          <w:color w:val="000000"/>
          <w:sz w:val="26"/>
          <w:szCs w:val="26"/>
        </w:rPr>
        <w:t xml:space="preserve">г) </w:t>
      </w:r>
      <w:r>
        <w:rPr>
          <w:sz w:val="26"/>
          <w:szCs w:val="26"/>
        </w:rPr>
        <w:t xml:space="preserve">наличие специалистов, </w:t>
      </w:r>
      <w:r>
        <w:rPr>
          <w:color w:val="000000"/>
          <w:sz w:val="26"/>
          <w:szCs w:val="26"/>
        </w:rPr>
        <w:t>прошедших обучение особенностям монтажа приборов учета, у производителя, либо официального дилера, данных приборов учета необходимых для исполнения договора;</w:t>
      </w:r>
    </w:p>
    <w:p>
      <w:pPr>
        <w:pStyle w:val="Normal"/>
        <w:widowControl/>
        <w:bidi w:val="0"/>
        <w:spacing w:before="0" w:after="0"/>
        <w:ind w:firstLine="680" w:left="0" w:right="0"/>
        <w:jc w:val="both"/>
        <w:rPr>
          <w:rFonts w:ascii="Times New Roman" w:hAnsi="Times New Roman"/>
          <w:color w:val="000000"/>
          <w:sz w:val="26"/>
          <w:szCs w:val="26"/>
          <w:highlight w:val="none"/>
        </w:rPr>
      </w:pPr>
      <w:r>
        <w:rPr>
          <w:color w:val="000000"/>
          <w:sz w:val="26"/>
          <w:szCs w:val="26"/>
        </w:rPr>
        <w:t xml:space="preserve">- В качестве подтверждения наличия соответствующего персонала используются копии протоколов и/или журнала проверки знаний и копии действующих удостоверений о проверке знаний норм и правил работы в электроустановках и (или) сведений (номера протоколов проверки знаний, ссылки на сервис проверки протоколов единого портала тестирования </w:t>
      </w:r>
      <w:hyperlink r:id="rId2" w:tooltip="https://qr.gosnadzor.ru/energybez">
        <w:r>
          <w:rPr>
            <w:rStyle w:val="Hyperlink"/>
            <w:sz w:val="26"/>
            <w:szCs w:val="26"/>
          </w:rPr>
          <w:t>https://qr.gosnadzor.ru/energybez</w:t>
        </w:r>
      </w:hyperlink>
      <w:r>
        <w:rPr>
          <w:color w:val="000000"/>
          <w:sz w:val="26"/>
          <w:szCs w:val="26"/>
        </w:rPr>
        <w:t>);</w:t>
      </w:r>
    </w:p>
    <w:p>
      <w:pPr>
        <w:pStyle w:val="Normal"/>
        <w:widowControl/>
        <w:bidi w:val="0"/>
        <w:spacing w:before="0" w:after="0"/>
        <w:ind w:firstLine="680" w:left="0" w:right="0"/>
        <w:jc w:val="both"/>
        <w:rPr>
          <w:rFonts w:ascii="Times New Roman" w:hAnsi="Times New Roman"/>
          <w:color w:val="000000"/>
          <w:sz w:val="26"/>
          <w:szCs w:val="26"/>
          <w:highlight w:val="none"/>
        </w:rPr>
      </w:pPr>
      <w:r>
        <w:rPr>
          <w:color w:val="000000"/>
          <w:sz w:val="26"/>
          <w:szCs w:val="26"/>
        </w:rPr>
        <w:t xml:space="preserve">- В случае прохождения сотрудниками, указанными в п.1.7, проверки знаний норм и правил работы в электроустановках в комиссии Участника предоставить копии приказов о назначении постоянно действующей комиссии Участника по проверке знаний норм и правил работы в электроустановках. Копии документов и/или ссылки на сервис проверки протоколов единого портала тестирования </w:t>
      </w:r>
      <w:hyperlink r:id="rId3" w:tooltip="https://qr.gosnadzor.ru/energybez">
        <w:r>
          <w:rPr>
            <w:rStyle w:val="Hyperlink"/>
            <w:sz w:val="26"/>
            <w:szCs w:val="26"/>
          </w:rPr>
          <w:t>https://qr.gosnadzor.ru/energybez</w:t>
        </w:r>
      </w:hyperlink>
      <w:r>
        <w:rPr>
          <w:color w:val="000000"/>
          <w:sz w:val="26"/>
          <w:szCs w:val="26"/>
        </w:rPr>
        <w:t>, подтверждающих обучение и прохождение проверки знаний всех членов постоянно действующей комиссии Участника, в том числе в комиссии Ростехнадзора, либо документы о привлечении к работе в постоянно действующей комиссии Участника представителей Ростехнадзора.</w:t>
      </w:r>
    </w:p>
    <w:p>
      <w:pPr>
        <w:pStyle w:val="Heading1"/>
        <w:spacing w:before="0" w:after="0"/>
        <w:ind w:firstLine="709"/>
        <w:rPr>
          <w:sz w:val="26"/>
          <w:szCs w:val="26"/>
        </w:rPr>
      </w:pPr>
      <w:bookmarkStart w:id="19" w:name="_Toc22937988"/>
      <w:bookmarkStart w:id="20" w:name="_Toc32489346"/>
      <w:bookmarkStart w:id="21" w:name="_Toc32496713"/>
      <w:r>
        <w:rPr>
          <w:sz w:val="26"/>
          <w:szCs w:val="26"/>
        </w:rPr>
        <w:t>2. Общие технические требования</w:t>
      </w:r>
      <w:bookmarkEnd w:id="19"/>
      <w:bookmarkEnd w:id="20"/>
      <w:bookmarkEnd w:id="21"/>
    </w:p>
    <w:p>
      <w:pPr>
        <w:pStyle w:val="Normal"/>
        <w:numPr>
          <w:ilvl w:val="1"/>
          <w:numId w:val="6"/>
        </w:numPr>
        <w:tabs>
          <w:tab w:val="clear" w:pos="709"/>
          <w:tab w:val="left" w:pos="1134" w:leader="none"/>
        </w:tabs>
        <w:ind w:firstLine="709" w:left="0"/>
        <w:jc w:val="both"/>
        <w:rPr>
          <w:sz w:val="26"/>
          <w:szCs w:val="26"/>
        </w:rPr>
      </w:pPr>
      <w:r>
        <w:rPr>
          <w:sz w:val="26"/>
          <w:szCs w:val="26"/>
        </w:rPr>
        <w:t>Продукция должна быть новой, ранее не использованной, годом выпуска не ранее 4 квартала 2025 года, приборы учета электроэнергии должны иметь дату поверки не более 6 месяцев на дату поставки.</w:t>
      </w:r>
    </w:p>
    <w:p>
      <w:pPr>
        <w:pStyle w:val="Normal"/>
        <w:widowControl w:val="false"/>
        <w:numPr>
          <w:ilvl w:val="1"/>
          <w:numId w:val="6"/>
        </w:numPr>
        <w:tabs>
          <w:tab w:val="clear" w:pos="709"/>
          <w:tab w:val="left" w:pos="993" w:leader="none"/>
          <w:tab w:val="left" w:pos="1134" w:leader="none"/>
        </w:tabs>
        <w:ind w:firstLine="709" w:left="0"/>
        <w:jc w:val="both"/>
        <w:rPr>
          <w:sz w:val="26"/>
          <w:szCs w:val="26"/>
        </w:rPr>
      </w:pPr>
      <w:r>
        <w:rPr>
          <w:sz w:val="26"/>
          <w:szCs w:val="26"/>
        </w:rP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pPr>
        <w:pStyle w:val="Normal"/>
        <w:numPr>
          <w:ilvl w:val="1"/>
          <w:numId w:val="6"/>
        </w:numPr>
        <w:ind w:firstLine="709" w:left="0"/>
        <w:jc w:val="both"/>
        <w:rPr>
          <w:sz w:val="26"/>
          <w:szCs w:val="26"/>
        </w:rPr>
      </w:pPr>
      <w:r>
        <w:rPr>
          <w:sz w:val="26"/>
          <w:szCs w:val="26"/>
        </w:rPr>
        <w:t xml:space="preserve">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должна соответствовать типовым техническим решениям ПАО «Россети» и типовым проектам «АО «ЕЭСК»» по организации учета электроэнергии. </w:t>
      </w:r>
    </w:p>
    <w:p>
      <w:pPr>
        <w:pStyle w:val="Normal"/>
        <w:tabs>
          <w:tab w:val="clear" w:pos="709"/>
          <w:tab w:val="left" w:pos="1134" w:leader="none"/>
        </w:tabs>
        <w:ind w:left="709"/>
        <w:jc w:val="both"/>
        <w:rPr>
          <w:sz w:val="26"/>
          <w:szCs w:val="26"/>
        </w:rPr>
      </w:pPr>
      <w:r>
        <w:rPr>
          <w:sz w:val="26"/>
          <w:szCs w:val="26"/>
        </w:rPr>
      </w:r>
    </w:p>
    <w:p>
      <w:pPr>
        <w:pStyle w:val="Heading1"/>
        <w:numPr>
          <w:ilvl w:val="0"/>
          <w:numId w:val="6"/>
        </w:numPr>
        <w:tabs>
          <w:tab w:val="clear" w:pos="709"/>
          <w:tab w:val="left" w:pos="993" w:leader="none"/>
        </w:tabs>
        <w:spacing w:before="0" w:after="0"/>
        <w:ind w:firstLine="709" w:left="0"/>
        <w:rPr>
          <w:sz w:val="26"/>
          <w:szCs w:val="26"/>
        </w:rPr>
      </w:pPr>
      <w:bookmarkStart w:id="22" w:name="_Toc22937989"/>
      <w:bookmarkStart w:id="23" w:name="_Toc32489347"/>
      <w:bookmarkStart w:id="24" w:name="_Toc32496714"/>
      <w:r>
        <w:rPr>
          <w:sz w:val="26"/>
          <w:szCs w:val="26"/>
        </w:rPr>
        <w:t>Состав и содержание работ</w:t>
      </w:r>
      <w:bookmarkEnd w:id="22"/>
      <w:bookmarkEnd w:id="23"/>
      <w:bookmarkEnd w:id="24"/>
    </w:p>
    <w:p>
      <w:pPr>
        <w:pStyle w:val="ListParagraph11"/>
        <w:spacing w:before="0" w:after="0"/>
        <w:ind w:firstLine="709" w:left="0"/>
        <w:contextualSpacing w:val="false"/>
        <w:jc w:val="both"/>
        <w:rPr>
          <w:sz w:val="26"/>
          <w:szCs w:val="26"/>
          <w:lang w:val="ru-RU"/>
        </w:rPr>
      </w:pPr>
      <w:r>
        <w:rPr>
          <w:sz w:val="26"/>
          <w:szCs w:val="26"/>
          <w:lang w:val="ru-RU"/>
        </w:rPr>
        <w:t>Система учета</w:t>
      </w:r>
      <w:r>
        <w:rPr>
          <w:iCs/>
          <w:sz w:val="26"/>
          <w:szCs w:val="26"/>
        </w:rPr>
        <w:t xml:space="preserve"> </w:t>
      </w:r>
      <w:r>
        <w:rPr>
          <w:iCs/>
          <w:sz w:val="26"/>
          <w:szCs w:val="26"/>
          <w:lang w:val="ru-RU"/>
        </w:rPr>
        <w:t>электроэнергии</w:t>
      </w:r>
      <w:r>
        <w:rPr>
          <w:i/>
          <w:iCs/>
          <w:sz w:val="26"/>
          <w:szCs w:val="26"/>
          <w:lang w:val="ru-RU"/>
        </w:rPr>
        <w:t xml:space="preserve"> </w:t>
      </w:r>
      <w:r>
        <w:rPr>
          <w:sz w:val="26"/>
          <w:szCs w:val="26"/>
        </w:rPr>
        <w:t xml:space="preserve">должна создаваться </w:t>
      </w:r>
      <w:r>
        <w:rPr>
          <w:sz w:val="26"/>
          <w:szCs w:val="26"/>
          <w:lang w:val="ru-RU"/>
        </w:rPr>
        <w:t xml:space="preserve">как система </w:t>
      </w:r>
      <w:r>
        <w:rPr>
          <w:sz w:val="26"/>
          <w:szCs w:val="26"/>
          <w:lang w:val="ru-RU"/>
        </w:rPr>
        <w:br w:type="textWrapping" w:clear="all"/>
      </w:r>
      <w:r>
        <w:rPr>
          <w:sz w:val="26"/>
          <w:szCs w:val="26"/>
          <w:lang w:val="ru-RU"/>
        </w:rPr>
        <w:t xml:space="preserve">с централизованным на уровне АО «ЕЭСК» </w:t>
      </w:r>
      <w:r>
        <w:rPr>
          <w:sz w:val="26"/>
          <w:szCs w:val="26"/>
        </w:rPr>
        <w:t>управлением</w:t>
      </w:r>
      <w:r>
        <w:rPr>
          <w:sz w:val="26"/>
          <w:szCs w:val="26"/>
          <w:lang w:val="ru-RU"/>
        </w:rPr>
        <w:t>. В</w:t>
      </w:r>
      <w:r>
        <w:rPr>
          <w:sz w:val="26"/>
          <w:szCs w:val="26"/>
        </w:rPr>
        <w:t xml:space="preserve"> состав </w:t>
      </w:r>
      <w:r>
        <w:rPr>
          <w:sz w:val="26"/>
          <w:szCs w:val="26"/>
          <w:lang w:val="ru-RU"/>
        </w:rPr>
        <w:t>системы учета электроэнергии,</w:t>
      </w:r>
      <w:r>
        <w:rPr>
          <w:sz w:val="26"/>
          <w:szCs w:val="26"/>
          <w:lang w:val="ru-RU" w:eastAsia="ru-RU"/>
        </w:rPr>
        <w:t xml:space="preserve"> </w:t>
      </w:r>
      <w:r>
        <w:rPr>
          <w:sz w:val="26"/>
          <w:szCs w:val="26"/>
          <w:lang w:val="ru-RU"/>
        </w:rPr>
        <w:t>интегрированной с ИВК ВУ АО «ЕЭСК», должны входить:</w:t>
      </w:r>
    </w:p>
    <w:p>
      <w:pPr>
        <w:pStyle w:val="Style70"/>
        <w:numPr>
          <w:ilvl w:val="0"/>
          <w:numId w:val="13"/>
        </w:numPr>
        <w:tabs>
          <w:tab w:val="clear" w:pos="709"/>
          <w:tab w:val="left" w:pos="851" w:leader="none"/>
          <w:tab w:val="left" w:pos="993" w:leader="none"/>
        </w:tabs>
        <w:spacing w:lineRule="auto" w:line="240"/>
        <w:ind w:firstLine="709" w:left="0" w:right="0"/>
        <w:rPr>
          <w:sz w:val="26"/>
          <w:szCs w:val="26"/>
        </w:rPr>
      </w:pPr>
      <w:r>
        <w:rPr>
          <w:sz w:val="26"/>
          <w:szCs w:val="26"/>
        </w:rPr>
        <w:t>ИИК, включающие трансформаторы тока и напряжения, вторичные измерительные цепи, а также приборы учета электрической энергии коммерческого и технического учета электрической энергии;</w:t>
      </w:r>
    </w:p>
    <w:p>
      <w:pPr>
        <w:pStyle w:val="Style70"/>
        <w:numPr>
          <w:ilvl w:val="0"/>
          <w:numId w:val="13"/>
        </w:numPr>
        <w:tabs>
          <w:tab w:val="clear" w:pos="709"/>
          <w:tab w:val="left" w:pos="851" w:leader="none"/>
          <w:tab w:val="left" w:pos="993" w:leader="none"/>
        </w:tabs>
        <w:spacing w:lineRule="auto" w:line="240"/>
        <w:ind w:firstLine="709" w:left="0" w:right="0"/>
        <w:rPr>
          <w:sz w:val="26"/>
          <w:szCs w:val="26"/>
        </w:rPr>
      </w:pPr>
      <w:r>
        <w:rPr>
          <w:sz w:val="26"/>
          <w:szCs w:val="26"/>
        </w:rPr>
        <w:t>ИВКЭ, обеспечивающий доступ, диагностику, сбор и обработку информации от ИИК. В состав ИВКЭ должны входить: УСПД, обеспечивающие доступ к информации по учету электроэнергии на уровне ИИК, технические средства приема-передачи данных (оборудование локальных вычислительных сетей, кабельная инфраструктура). Допускается создание систем учета электроэнергии без уровня ИВКЭ при соответствующем обосновании в проектной документации.</w:t>
      </w:r>
      <w:r>
        <w:rPr>
          <w:sz w:val="26"/>
          <w:szCs w:val="26"/>
          <w:lang w:eastAsia="ru-RU"/>
        </w:rPr>
        <w:t xml:space="preserve"> </w:t>
      </w:r>
      <w:r>
        <w:rPr>
          <w:sz w:val="26"/>
          <w:szCs w:val="26"/>
        </w:rPr>
        <w:t>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пп. 6.1.6, 6.5, приложением 1 к СТО 34.01-21-005-2019 «Цифровая электрическая сеть. Требования к проектированию цифровых распределительных электрических сетей 0,4-220 кВ» (при наличии на объекте необходимых датчиков и коммутационных аппаратов).</w:t>
      </w:r>
    </w:p>
    <w:p>
      <w:pPr>
        <w:pStyle w:val="Style70"/>
        <w:numPr>
          <w:ilvl w:val="0"/>
          <w:numId w:val="13"/>
        </w:numPr>
        <w:tabs>
          <w:tab w:val="clear" w:pos="709"/>
          <w:tab w:val="left" w:pos="851" w:leader="none"/>
          <w:tab w:val="left" w:pos="993" w:leader="none"/>
        </w:tabs>
        <w:spacing w:lineRule="auto" w:line="240"/>
        <w:ind w:firstLine="709" w:left="0" w:right="0"/>
        <w:rPr>
          <w:sz w:val="26"/>
          <w:szCs w:val="26"/>
        </w:rPr>
      </w:pPr>
      <w:r>
        <w:rPr>
          <w:sz w:val="26"/>
          <w:szCs w:val="26"/>
        </w:rPr>
        <w:t>Система обеспечения единого времени (СОЕВ).</w:t>
      </w:r>
    </w:p>
    <w:p>
      <w:pPr>
        <w:pStyle w:val="Style70"/>
        <w:tabs>
          <w:tab w:val="clear" w:pos="709"/>
          <w:tab w:val="left" w:pos="993" w:leader="none"/>
        </w:tabs>
        <w:spacing w:lineRule="auto" w:line="240"/>
        <w:ind w:firstLine="709" w:left="0" w:right="0"/>
        <w:rPr>
          <w:sz w:val="26"/>
          <w:szCs w:val="26"/>
        </w:rPr>
      </w:pPr>
      <w:r>
        <w:rPr>
          <w:sz w:val="26"/>
          <w:szCs w:val="26"/>
        </w:rPr>
        <w:t>Организация учета электроэнергии при заключении договоров подряда «под ключ» с нетарифными источниками финансирования (далее – нетарифные договоры) должна обеспечивать возможность формирования балансов электроэнергии по фидерам, по секциям шин каждого класса напряжения 6-20/0,4 кВ и в целом по ПС, включая обходные и секционные выключатели.</w:t>
      </w:r>
    </w:p>
    <w:p>
      <w:pPr>
        <w:pStyle w:val="Normal"/>
        <w:ind w:firstLine="709"/>
        <w:jc w:val="both"/>
        <w:rPr>
          <w:sz w:val="26"/>
          <w:szCs w:val="26"/>
        </w:rPr>
      </w:pPr>
      <w:r>
        <w:rPr>
          <w:sz w:val="26"/>
          <w:szCs w:val="26"/>
        </w:rPr>
        <w:t>Порядок взаимодействия Заказчика с Подрядчиком, включая формы актов допуска в эксплуатацию, акты выполненных работ и др., должны соответствовать «</w:t>
      </w:r>
      <w:bookmarkStart w:id="25" w:name="_Toc139379748"/>
      <w:bookmarkStart w:id="26" w:name="_Toc149495208"/>
      <w:r>
        <w:rPr>
          <w:sz w:val="26"/>
          <w:szCs w:val="26"/>
        </w:rPr>
        <w:t xml:space="preserve">Типовому регламенту взаимодействия при установке (замене) приборов учета электроэнергии и присоединении их к интеллектуальным системам учета электроэнергии (мощности) в </w:t>
      </w:r>
      <w:bookmarkEnd w:id="25"/>
      <w:bookmarkEnd w:id="26"/>
      <w:r>
        <w:rPr>
          <w:sz w:val="26"/>
          <w:szCs w:val="26"/>
        </w:rPr>
        <w:t>филиалах (ДО) ПАО «Россети Урал» (далее по тексту – Регламент взаимодействия), утвержденным приказом ПАО «Россети» от 15.09.2025 № 454 (приложение 2 к техническому заданию).</w:t>
      </w:r>
    </w:p>
    <w:p>
      <w:pPr>
        <w:pStyle w:val="Normal"/>
        <w:ind w:firstLine="709"/>
        <w:jc w:val="both"/>
        <w:rPr>
          <w:sz w:val="26"/>
          <w:szCs w:val="26"/>
        </w:rPr>
      </w:pPr>
      <w:r>
        <w:rPr>
          <w:sz w:val="26"/>
          <w:szCs w:val="26"/>
        </w:rPr>
        <w:t xml:space="preserve">При организации учета электроэнергии в рамках нетарифных договоров необходимо предусмотреть установку/замену приборов учета электроэнергии и измерительных трансформаторов на объектах в случае их несоответствия СТО </w:t>
      </w:r>
      <w:r>
        <w:rPr>
          <w:bCs/>
          <w:iCs/>
          <w:sz w:val="26"/>
          <w:szCs w:val="26"/>
        </w:rPr>
        <w:t>34.01-5.1-009-2024</w:t>
      </w:r>
      <w:r>
        <w:rPr>
          <w:sz w:val="26"/>
          <w:szCs w:val="26"/>
        </w:rPr>
        <w:t xml:space="preserve"> ПАО «Россети». Для объектов, подключенных на напряжении 0,4 кВ ТП 6-20 кВ допускается установка приборов учета электроэнергии на стороне высшего напряжения (6-20 кВ) силовых трансформаторов при наличии согласования Заказчика и экономического эффекта. Вновь вводимые точки учета должны быть включены в автоматизированную систему учета с удаленным сбором данных «АО «ЕЭСК»»</w:t>
      </w:r>
    </w:p>
    <w:p>
      <w:pPr>
        <w:pStyle w:val="Normal"/>
        <w:ind w:firstLine="709"/>
        <w:jc w:val="both"/>
        <w:rPr>
          <w:sz w:val="26"/>
          <w:szCs w:val="26"/>
        </w:rPr>
      </w:pPr>
      <w:r>
        <w:rPr>
          <w:sz w:val="26"/>
          <w:szCs w:val="26"/>
        </w:rPr>
        <w:t>Все работы выполняются силами подрядной организации. «АО «ЕЭСК» (далее - Заказчик) обеспечивает предоставление документов для проведения предпроектного обследования в соответствии с требованиями Регламента взаимодействия (приложение 2 к техническому заданию).</w:t>
      </w:r>
    </w:p>
    <w:p>
      <w:pPr>
        <w:pStyle w:val="Normal"/>
        <w:ind w:firstLine="709"/>
        <w:jc w:val="both"/>
        <w:rPr>
          <w:sz w:val="26"/>
          <w:szCs w:val="26"/>
        </w:rPr>
      </w:pPr>
      <w:r>
        <w:rPr>
          <w:sz w:val="26"/>
          <w:szCs w:val="26"/>
        </w:rPr>
        <w:t xml:space="preserve">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w:t>
      </w:r>
      <w:r>
        <w:rPr>
          <w:sz w:val="26"/>
          <w:szCs w:val="26"/>
        </w:rPr>
        <w:br w:type="textWrapping" w:clear="all"/>
      </w:r>
      <w:r>
        <w:rPr>
          <w:sz w:val="26"/>
          <w:szCs w:val="26"/>
        </w:rPr>
        <w:t>«Об утверждении Требований по обеспечению безопасности значимых объектов критической информационной инфраструктуры Российской Федерации»).</w:t>
      </w:r>
    </w:p>
    <w:p>
      <w:pPr>
        <w:pStyle w:val="Normal"/>
        <w:ind w:firstLine="709"/>
        <w:jc w:val="both"/>
        <w:rPr>
          <w:sz w:val="26"/>
          <w:szCs w:val="26"/>
        </w:rPr>
      </w:pPr>
      <w:r>
        <w:rPr>
          <w:sz w:val="26"/>
          <w:szCs w:val="26"/>
        </w:rPr>
        <w:t>Внедрение УСПД и ПУ должно быть обеспечено в соответствии с проектной документацией и рабочей документацией. Проектная и рабочая документация на внедрение УСПД и ПУ,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 а также средств (систем) защиты информации, в том числе встроенных, не допускается без проектной и рабочей документации.</w:t>
      </w:r>
    </w:p>
    <w:p>
      <w:pPr>
        <w:pStyle w:val="Normal"/>
        <w:ind w:firstLine="709"/>
        <w:jc w:val="both"/>
        <w:rPr>
          <w:sz w:val="26"/>
          <w:szCs w:val="26"/>
        </w:rPr>
      </w:pPr>
      <w:r>
        <w:rPr>
          <w:sz w:val="26"/>
          <w:szCs w:val="26"/>
        </w:rPr>
        <w:t>Подрядчик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pPr>
        <w:pStyle w:val="Normal"/>
        <w:ind w:firstLine="709"/>
        <w:jc w:val="both"/>
        <w:rPr>
          <w:sz w:val="26"/>
          <w:szCs w:val="26"/>
        </w:rPr>
      </w:pPr>
      <w:r>
        <w:rPr>
          <w:sz w:val="26"/>
          <w:szCs w:val="26"/>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и типовыми проектами АО «ЕЭСК» по организации учета электроэнергии, типовыми проектами 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p>
    <w:p>
      <w:pPr>
        <w:pStyle w:val="Normal"/>
        <w:ind w:firstLine="709"/>
        <w:jc w:val="both"/>
        <w:rPr>
          <w:sz w:val="26"/>
          <w:szCs w:val="26"/>
        </w:rPr>
      </w:pPr>
      <w:r>
        <w:rPr>
          <w:sz w:val="26"/>
          <w:szCs w:val="26"/>
        </w:rPr>
        <w:t>В рамках исполнения требований 522-ФЗ производится установка приборов учета электроэнергии на границе балансовой принадлежности с потребителями взамен приборов учета с истекшим МПИ, сроком эксплуатации, их выходом из строя или отсутствием.</w:t>
      </w:r>
    </w:p>
    <w:p>
      <w:pPr>
        <w:pStyle w:val="Normal"/>
        <w:ind w:firstLine="709"/>
        <w:jc w:val="both"/>
        <w:rPr>
          <w:sz w:val="26"/>
          <w:szCs w:val="26"/>
        </w:rPr>
      </w:pPr>
      <w:r>
        <w:rPr>
          <w:sz w:val="26"/>
          <w:szCs w:val="26"/>
        </w:rPr>
        <w:t xml:space="preserve">Поадресный перечень точек учета для замены приборов учета с истекшим МПИ, сроком эксплуатации или в случае их отсутствия представлен в приложении 1 к ТЗ. </w:t>
      </w:r>
    </w:p>
    <w:p>
      <w:pPr>
        <w:pStyle w:val="Normal"/>
        <w:ind w:firstLine="709"/>
        <w:jc w:val="both"/>
        <w:rPr>
          <w:sz w:val="26"/>
          <w:szCs w:val="26"/>
        </w:rPr>
      </w:pPr>
      <w:r>
        <w:rPr>
          <w:sz w:val="26"/>
          <w:szCs w:val="26"/>
        </w:rPr>
        <w:t>Замена приборов учета, вышедших из строя, производится по заявке потребителя, направленной в адрес АО «ЕЭСК». В связи с этим, поадресный список точек учета не определен.</w:t>
      </w:r>
    </w:p>
    <w:p>
      <w:pPr>
        <w:pStyle w:val="Normal"/>
        <w:ind w:firstLine="709"/>
        <w:jc w:val="both"/>
        <w:rPr>
          <w:sz w:val="26"/>
          <w:szCs w:val="26"/>
        </w:rPr>
      </w:pPr>
      <w:r>
        <w:rPr>
          <w:sz w:val="26"/>
          <w:szCs w:val="26"/>
        </w:rPr>
        <w:t>В соответствии с требованиями постановления Правительства Российской Федерации от 17 июля 2015 г. № 719 «О подтверждении производства промышленной продукции на территории Российской Федерации», постановления Правительства Российской Федерации от 10 июля 2019 г. №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некоторых актов Правительства Российской Федерации» и также Единой технической политики ПАО «Россети» запрещается применять технологии и решения, предусматривающие иностранное происхождение встроенного программного обеспечения оборудования (устройств).</w:t>
      </w:r>
    </w:p>
    <w:p>
      <w:pPr>
        <w:pStyle w:val="Normal"/>
        <w:ind w:firstLine="709"/>
        <w:jc w:val="both"/>
        <w:rPr>
          <w:sz w:val="26"/>
          <w:szCs w:val="26"/>
        </w:rPr>
      </w:pPr>
      <w:r>
        <w:rPr>
          <w:sz w:val="26"/>
          <w:szCs w:val="26"/>
        </w:rPr>
        <w:t>Подрядчик обеспечивает оформление с потребителями актов допуска смонтированных приборов учета в эксплуатацию в качестве расчетных.</w:t>
      </w:r>
    </w:p>
    <w:p>
      <w:pPr>
        <w:pStyle w:val="Normal"/>
        <w:ind w:firstLine="709"/>
        <w:jc w:val="both"/>
        <w:rPr>
          <w:sz w:val="26"/>
          <w:szCs w:val="26"/>
        </w:rPr>
      </w:pPr>
      <w:r>
        <w:rPr>
          <w:sz w:val="26"/>
          <w:szCs w:val="26"/>
        </w:rPr>
        <w:t>Информация о выполнении работ заносится в специализированный программный комплекс ПАО «Россети Урал» - информационная система управления работами (далее – АИС «ИСУР») в порядке согласно приложению 6 к ТЗ.</w:t>
      </w:r>
    </w:p>
    <w:p>
      <w:pPr>
        <w:pStyle w:val="Normal"/>
        <w:ind w:firstLine="709"/>
        <w:jc w:val="both"/>
        <w:rPr>
          <w:sz w:val="26"/>
          <w:szCs w:val="26"/>
        </w:rPr>
      </w:pPr>
      <w:r>
        <w:rPr>
          <w:sz w:val="26"/>
          <w:szCs w:val="26"/>
        </w:rPr>
        <w:t>Под выполняемыми подрядчиком работами подразумевается следующий перечень технических и организационных мероприятий согласно графику реализации договора:</w:t>
      </w:r>
    </w:p>
    <w:p>
      <w:pPr>
        <w:pStyle w:val="Normal"/>
        <w:ind w:firstLine="709"/>
        <w:jc w:val="both"/>
        <w:rPr>
          <w:sz w:val="26"/>
          <w:szCs w:val="26"/>
        </w:rPr>
      </w:pPr>
      <w:r>
        <w:rPr>
          <w:sz w:val="26"/>
          <w:szCs w:val="26"/>
        </w:rPr>
        <w:t>- проектно-изыскательские работы (ПИР);</w:t>
      </w:r>
    </w:p>
    <w:p>
      <w:pPr>
        <w:pStyle w:val="Normal"/>
        <w:ind w:firstLine="709"/>
        <w:jc w:val="both"/>
        <w:rPr>
          <w:sz w:val="26"/>
          <w:szCs w:val="26"/>
        </w:rPr>
      </w:pPr>
      <w:r>
        <w:rPr>
          <w:sz w:val="26"/>
          <w:szCs w:val="26"/>
        </w:rPr>
        <w:t>- строительно-монтажные работы (СМР);</w:t>
      </w:r>
    </w:p>
    <w:p>
      <w:pPr>
        <w:pStyle w:val="Normal"/>
        <w:ind w:firstLine="709"/>
        <w:jc w:val="both"/>
        <w:rPr>
          <w:sz w:val="26"/>
          <w:szCs w:val="26"/>
        </w:rPr>
      </w:pPr>
      <w:r>
        <w:rPr>
          <w:sz w:val="26"/>
          <w:szCs w:val="26"/>
        </w:rPr>
        <w:t>- пусконаладочные работы (ПНР);</w:t>
      </w:r>
    </w:p>
    <w:p>
      <w:pPr>
        <w:pStyle w:val="Normal"/>
        <w:ind w:firstLine="709"/>
        <w:jc w:val="both"/>
        <w:rPr>
          <w:sz w:val="26"/>
          <w:szCs w:val="26"/>
        </w:rPr>
      </w:pPr>
      <w:r>
        <w:rPr>
          <w:sz w:val="26"/>
          <w:szCs w:val="26"/>
        </w:rPr>
        <w:t>- подписание с потребителями актов приемки приборов учета в расчетные.</w:t>
      </w:r>
    </w:p>
    <w:p>
      <w:pPr>
        <w:pStyle w:val="Normal"/>
        <w:ind w:firstLine="709"/>
        <w:jc w:val="both"/>
        <w:rPr>
          <w:sz w:val="26"/>
          <w:szCs w:val="26"/>
        </w:rPr>
      </w:pPr>
      <w:r>
        <w:rPr>
          <w:sz w:val="26"/>
          <w:szCs w:val="26"/>
        </w:rPr>
        <w:t xml:space="preserve">До начала СМР по объекту, подрядчик обязан направить в филиал перечни предполагаемых к установке приборов учета, УСПД и </w:t>
      </w:r>
      <w:r>
        <w:rPr>
          <w:sz w:val="26"/>
          <w:szCs w:val="26"/>
          <w:lang w:val="en-US"/>
        </w:rPr>
        <w:t>sim</w:t>
      </w:r>
      <w:r>
        <w:rPr>
          <w:sz w:val="26"/>
          <w:szCs w:val="26"/>
        </w:rPr>
        <w:t xml:space="preserve">-карт для занесения в АИС «ИСУР». </w:t>
      </w:r>
    </w:p>
    <w:p>
      <w:pPr>
        <w:pStyle w:val="Normal"/>
        <w:ind w:firstLine="709"/>
        <w:jc w:val="both"/>
        <w:rPr>
          <w:sz w:val="26"/>
          <w:szCs w:val="26"/>
        </w:rPr>
      </w:pPr>
      <w:r>
        <w:rPr>
          <w:sz w:val="26"/>
          <w:szCs w:val="26"/>
        </w:rPr>
        <w:t xml:space="preserve">Сотрудник филиала, на основе предоставляемых подрядчиком графиков выполнения работ, производит в АИС «ИСУР» планирование и передачу в работу подрядчику задач на проведение указанных выше мероприятий по объектам, указанным в графике. </w:t>
      </w:r>
    </w:p>
    <w:p>
      <w:pPr>
        <w:pStyle w:val="Normal"/>
        <w:ind w:firstLine="709"/>
        <w:jc w:val="both"/>
        <w:rPr>
          <w:sz w:val="26"/>
          <w:szCs w:val="26"/>
        </w:rPr>
      </w:pPr>
      <w:r>
        <w:rPr>
          <w:sz w:val="26"/>
          <w:szCs w:val="26"/>
        </w:rPr>
        <w:t>После завершения работ по точке подрядчик вносит в АИС «ИСУР» информацию, согласно инструкций, выдаваемых ПАО «Россети Урал», и направляет задачу на приемку сотруднику филиала.</w:t>
      </w:r>
    </w:p>
    <w:p>
      <w:pPr>
        <w:pStyle w:val="Normal"/>
        <w:ind w:firstLine="709"/>
        <w:jc w:val="both"/>
        <w:rPr>
          <w:sz w:val="26"/>
          <w:szCs w:val="26"/>
        </w:rPr>
      </w:pPr>
      <w:r>
        <w:rPr>
          <w:sz w:val="26"/>
          <w:szCs w:val="26"/>
        </w:rPr>
        <w:t>При наличии замечаний сотрудник филиала направляет задачу на доработку. Перевод объекта в опытную эксплуатацию осуществляется после успешного выполнения всех задач по всем точкам объекта.</w:t>
      </w:r>
    </w:p>
    <w:p>
      <w:pPr>
        <w:pStyle w:val="Normal"/>
        <w:ind w:firstLine="709"/>
        <w:jc w:val="both"/>
        <w:rPr>
          <w:sz w:val="26"/>
          <w:szCs w:val="26"/>
        </w:rPr>
      </w:pPr>
      <w:r>
        <w:rPr>
          <w:sz w:val="26"/>
          <w:szCs w:val="26"/>
        </w:rPr>
      </w:r>
    </w:p>
    <w:p>
      <w:pPr>
        <w:pStyle w:val="2H2H2212h22RTCiz2"/>
        <w:spacing w:before="0" w:after="0"/>
        <w:ind w:firstLine="709"/>
        <w:rPr>
          <w:rFonts w:ascii="Times New Roman" w:hAnsi="Times New Roman"/>
          <w:sz w:val="26"/>
          <w:szCs w:val="26"/>
          <w:lang w:val="ru-RU"/>
        </w:rPr>
      </w:pPr>
      <w:bookmarkStart w:id="27" w:name="_Toc22937990"/>
      <w:bookmarkStart w:id="28" w:name="_Toc32489348"/>
      <w:bookmarkStart w:id="29" w:name="_Toc32496715"/>
      <w:r>
        <w:rPr>
          <w:rFonts w:ascii="Times New Roman" w:hAnsi="Times New Roman"/>
          <w:sz w:val="26"/>
          <w:szCs w:val="26"/>
        </w:rPr>
        <w:t xml:space="preserve">3.1. </w:t>
      </w:r>
      <w:r>
        <w:rPr>
          <w:rFonts w:ascii="Times New Roman" w:hAnsi="Times New Roman"/>
          <w:sz w:val="26"/>
          <w:szCs w:val="26"/>
          <w:lang w:val="ru-RU"/>
        </w:rPr>
        <w:t>Требования к проектной документации</w:t>
      </w:r>
      <w:bookmarkEnd w:id="27"/>
      <w:bookmarkEnd w:id="28"/>
      <w:bookmarkEnd w:id="29"/>
    </w:p>
    <w:p>
      <w:pPr>
        <w:pStyle w:val="Normal"/>
        <w:tabs>
          <w:tab w:val="left" w:pos="709" w:leader="none"/>
        </w:tabs>
        <w:ind w:firstLine="709"/>
        <w:jc w:val="both"/>
        <w:rPr>
          <w:sz w:val="26"/>
          <w:szCs w:val="26"/>
        </w:rPr>
      </w:pPr>
      <w:r>
        <w:rPr>
          <w:sz w:val="26"/>
          <w:szCs w:val="26"/>
        </w:rPr>
        <w:t>Проектно-изыскательские работы (далее - ПИР) представляют собой комплекс работ по проведению инженерных изысканий, разработке технико-экономических обоснований строительства, подготовке проектов, рабочей документации, составлению сметной документации для осуществления строительства системы учета электроэнергии с удаленным сбором. В связи с особенностями функционирования систем учета электроэнергии с удаленным сбором данных, изыскательские работы, представляющие собой комплекс технических и экономических исследований района строительства, проводятся в форме предпроектного обследования. По результатам предпроектного обследования составляется отчет предпроектного обследования (далее - ППО), который должен быть согласован с Заказчиком.</w:t>
      </w:r>
      <w:r>
        <w:rPr/>
        <w:t xml:space="preserve"> </w:t>
      </w:r>
      <w:r>
        <w:rPr>
          <w:sz w:val="26"/>
          <w:szCs w:val="26"/>
        </w:rPr>
        <w:t xml:space="preserve">Подрядчик должен разработать проектную документацию на встроенные средства защиты информации в ПО УСПД и приборов учета </w:t>
      </w:r>
    </w:p>
    <w:p>
      <w:pPr>
        <w:pStyle w:val="Normal"/>
        <w:tabs>
          <w:tab w:val="left" w:pos="709" w:leader="none"/>
        </w:tabs>
        <w:ind w:firstLine="709"/>
        <w:jc w:val="both"/>
        <w:rPr>
          <w:sz w:val="26"/>
          <w:szCs w:val="26"/>
        </w:rPr>
      </w:pPr>
      <w:r>
        <w:rPr>
          <w:sz w:val="26"/>
          <w:szCs w:val="26"/>
        </w:rPr>
        <w:t>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26.06.2008 № 102-ФЗ «Об обеспечении единства измерений»,</w:t>
      </w:r>
      <w:r>
        <w:rPr/>
        <w:t xml:space="preserve"> </w:t>
      </w:r>
      <w:r>
        <w:rPr>
          <w:sz w:val="26"/>
          <w:szCs w:val="26"/>
        </w:rPr>
        <w:t>Федерального закона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Федерального закона  от 23.11.2009 №</w:t>
      </w:r>
      <w:r>
        <w:rPr>
          <w:sz w:val="26"/>
          <w:szCs w:val="26"/>
          <w:lang w:val="en-US"/>
        </w:rPr>
        <w:t> </w:t>
      </w:r>
      <w:r>
        <w:rPr>
          <w:sz w:val="26"/>
          <w:szCs w:val="26"/>
        </w:rPr>
        <w:t>261-ФЗ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России 19.09.1996, Минстроем России 26.09.1996, ПУЭ и ПТЭ. 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pPr>
        <w:pStyle w:val="Normal"/>
        <w:numPr>
          <w:ilvl w:val="0"/>
          <w:numId w:val="1"/>
        </w:numPr>
        <w:tabs>
          <w:tab w:val="clear" w:pos="709"/>
          <w:tab w:val="left" w:pos="993" w:leader="none"/>
        </w:tabs>
        <w:ind w:firstLine="709" w:left="0"/>
        <w:jc w:val="both"/>
        <w:rPr>
          <w:sz w:val="26"/>
          <w:szCs w:val="26"/>
        </w:rPr>
      </w:pPr>
      <w:r>
        <w:rPr>
          <w:sz w:val="26"/>
          <w:szCs w:val="26"/>
        </w:rPr>
        <w:t>проектная документация;</w:t>
      </w:r>
    </w:p>
    <w:p>
      <w:pPr>
        <w:pStyle w:val="Normal"/>
        <w:numPr>
          <w:ilvl w:val="0"/>
          <w:numId w:val="1"/>
        </w:numPr>
        <w:tabs>
          <w:tab w:val="clear" w:pos="709"/>
          <w:tab w:val="left" w:pos="993" w:leader="none"/>
        </w:tabs>
        <w:ind w:firstLine="709" w:left="0"/>
        <w:jc w:val="both"/>
        <w:rPr>
          <w:sz w:val="26"/>
          <w:szCs w:val="26"/>
        </w:rPr>
      </w:pPr>
      <w:r>
        <w:rPr>
          <w:sz w:val="26"/>
          <w:szCs w:val="26"/>
        </w:rPr>
        <w:t>рабочая документация;</w:t>
      </w:r>
    </w:p>
    <w:p>
      <w:pPr>
        <w:pStyle w:val="Normal"/>
        <w:numPr>
          <w:ilvl w:val="0"/>
          <w:numId w:val="1"/>
        </w:numPr>
        <w:tabs>
          <w:tab w:val="clear" w:pos="709"/>
          <w:tab w:val="left" w:pos="993" w:leader="none"/>
        </w:tabs>
        <w:ind w:firstLine="709" w:left="0"/>
        <w:jc w:val="both"/>
        <w:rPr>
          <w:sz w:val="26"/>
          <w:szCs w:val="26"/>
        </w:rPr>
      </w:pPr>
      <w:r>
        <w:rPr>
          <w:sz w:val="26"/>
          <w:szCs w:val="26"/>
        </w:rPr>
        <w:t>эксплуатационная документация;</w:t>
      </w:r>
    </w:p>
    <w:p>
      <w:pPr>
        <w:pStyle w:val="Normal"/>
        <w:numPr>
          <w:ilvl w:val="0"/>
          <w:numId w:val="1"/>
        </w:numPr>
        <w:tabs>
          <w:tab w:val="clear" w:pos="709"/>
          <w:tab w:val="left" w:pos="993" w:leader="none"/>
        </w:tabs>
        <w:ind w:firstLine="709" w:left="0"/>
        <w:jc w:val="both"/>
        <w:rPr>
          <w:sz w:val="26"/>
          <w:szCs w:val="26"/>
        </w:rPr>
      </w:pPr>
      <w:r>
        <w:rPr>
          <w:sz w:val="26"/>
          <w:szCs w:val="26"/>
        </w:rPr>
        <w:t>программа и методика испытаний (ПМИ).</w:t>
      </w:r>
    </w:p>
    <w:p>
      <w:pPr>
        <w:pStyle w:val="Normal"/>
        <w:tabs>
          <w:tab w:val="clear" w:pos="709"/>
          <w:tab w:val="left" w:pos="1134"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Допускается одноэтапное проектирование с разработкой технорабочего проекта.</w:t>
        <w:tab/>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xml:space="preserve">Проектная документация на организацию / модернизацию системы учета электроэнергии (далее - ПД) должна быть выполнена на основе типовых проектов и в соответствии с требованиями к проектной документации, указанной в Регламенте взаимодействия, 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системы учета, согласование ПД и эксплуатационной документации с Заказчиком.. </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В проектной документации должно быть представлено технико-экономическое обоснование вариантов организации канала передачи данных с приборов учета:</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xml:space="preserve">- </w:t>
      </w:r>
      <w:r>
        <w:rPr>
          <w:sz w:val="26"/>
          <w:szCs w:val="26"/>
          <w:lang w:val="en-US"/>
        </w:rPr>
        <w:t>PLC</w:t>
      </w:r>
      <w:r>
        <w:rPr>
          <w:sz w:val="26"/>
          <w:szCs w:val="26"/>
        </w:rPr>
        <w:t>;</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xml:space="preserve">- </w:t>
      </w:r>
      <w:r>
        <w:rPr>
          <w:sz w:val="26"/>
          <w:szCs w:val="26"/>
          <w:lang w:val="en-US"/>
        </w:rPr>
        <w:t>RF</w:t>
      </w:r>
      <w:r>
        <w:rPr>
          <w:sz w:val="26"/>
          <w:szCs w:val="26"/>
        </w:rPr>
        <w:t>, в том числе энергоэффективные каналы радиосвязи дальнего радиуса действия (</w:t>
      </w:r>
      <w:r>
        <w:rPr>
          <w:sz w:val="26"/>
          <w:szCs w:val="26"/>
          <w:lang w:val="en-US"/>
        </w:rPr>
        <w:t>LPWAN</w:t>
      </w:r>
      <w:r>
        <w:rPr>
          <w:sz w:val="26"/>
          <w:szCs w:val="26"/>
        </w:rPr>
        <w:t xml:space="preserve">, </w:t>
      </w:r>
      <w:r>
        <w:rPr>
          <w:sz w:val="26"/>
          <w:szCs w:val="26"/>
          <w:lang w:val="en-US"/>
        </w:rPr>
        <w:t>NB</w:t>
      </w:r>
      <w:r>
        <w:rPr>
          <w:sz w:val="26"/>
          <w:szCs w:val="26"/>
        </w:rPr>
        <w:t>-</w:t>
      </w:r>
      <w:r>
        <w:rPr>
          <w:sz w:val="26"/>
          <w:szCs w:val="26"/>
          <w:lang w:val="en-US"/>
        </w:rPr>
        <w:t>IoT</w:t>
      </w:r>
      <w:r>
        <w:rPr>
          <w:sz w:val="26"/>
          <w:szCs w:val="26"/>
        </w:rPr>
        <w:t xml:space="preserve"> и др.);</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xml:space="preserve">- сеть подвижной радиотелефонной связи </w:t>
      </w:r>
      <w:r>
        <w:rPr>
          <w:sz w:val="26"/>
          <w:szCs w:val="26"/>
          <w:lang w:val="en-US"/>
        </w:rPr>
        <w:t>GSM</w:t>
      </w:r>
      <w:r>
        <w:rPr>
          <w:sz w:val="26"/>
          <w:szCs w:val="26"/>
        </w:rPr>
        <w:t xml:space="preserve"> / </w:t>
      </w:r>
      <w:r>
        <w:rPr>
          <w:sz w:val="26"/>
          <w:szCs w:val="26"/>
          <w:lang w:val="en-US"/>
        </w:rPr>
        <w:t>LTE</w:t>
      </w:r>
      <w:r>
        <w:rPr>
          <w:sz w:val="26"/>
          <w:szCs w:val="26"/>
        </w:rPr>
        <w:t>.</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jc w:val="both"/>
        <w:rPr>
          <w:sz w:val="26"/>
          <w:szCs w:val="26"/>
        </w:rPr>
      </w:pPr>
      <w:r>
        <w:rPr>
          <w:sz w:val="26"/>
          <w:szCs w:val="26"/>
        </w:rPr>
        <w:tab/>
        <w:t>По согласованию с АО «ЕЭСК» перечень рассматриваемых сред передачи данных может быть дополнен. При необходимости возможна комбинация двух каналов связи для повышения качества опроса и надежности передачи данных.</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jc w:val="both"/>
        <w:rPr>
          <w:sz w:val="26"/>
          <w:szCs w:val="26"/>
        </w:rPr>
      </w:pPr>
      <w:r>
        <w:rPr>
          <w:sz w:val="26"/>
          <w:szCs w:val="26"/>
        </w:rPr>
        <w:tab/>
        <w:t xml:space="preserve">В случае отсутствия УСПД на участке сети, где планируется установка ПУ, и не предусмотрена установка УСПД в рамках настоящего ТЗ, в целях исполнения требований законодательства в части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 июня 2020 г. № 890, необходимо предусматривать установку ПУ с двумя или более интерфейсами связи типа:  1 интерфейс – </w:t>
      </w:r>
      <w:r>
        <w:rPr>
          <w:sz w:val="26"/>
          <w:szCs w:val="26"/>
          <w:lang w:val="en-US"/>
        </w:rPr>
        <w:t>GSM</w:t>
      </w:r>
      <w:r>
        <w:rPr>
          <w:sz w:val="26"/>
          <w:szCs w:val="26"/>
        </w:rPr>
        <w:t>/</w:t>
      </w:r>
      <w:r>
        <w:rPr>
          <w:sz w:val="26"/>
          <w:szCs w:val="26"/>
          <w:lang w:val="en-US"/>
        </w:rPr>
        <w:t>GPRS</w:t>
      </w:r>
      <w:r>
        <w:rPr>
          <w:sz w:val="26"/>
          <w:szCs w:val="26"/>
        </w:rPr>
        <w:t xml:space="preserve"> (прямой канал в ИВК ВУ), 2 интерфейс -  RF и (или) PLC для обеспечения возможности организации сбора данных с указанных ПУ в рамках будущих договоров без применения промежуточного программного обеспечения.</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В рамках реализации нетарифных договоров в проектной документации должна быть отражена следующая информация:</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верификация состояния участков сети на предмет уровня потерь;</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расчет экономической эффективности реализации проекта.</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xml:space="preserve">Расчет затрат на организацию интеллектуальных систем учета электроэнергии должен быть произведен в соответствии с приказом ПАО «Россети» от 25.09.2019 </w:t>
      </w:r>
      <w:r>
        <w:rPr>
          <w:sz w:val="26"/>
          <w:szCs w:val="26"/>
        </w:rPr>
        <w:br w:type="textWrapping" w:clear="all"/>
      </w:r>
      <w:r>
        <w:rPr>
          <w:sz w:val="26"/>
          <w:szCs w:val="26"/>
        </w:rPr>
        <w:t>№ 190.</w:t>
      </w:r>
    </w:p>
    <w:p>
      <w:pPr>
        <w:pStyle w:val="19"/>
        <w:numPr>
          <w:ilvl w:val="0"/>
          <w:numId w:val="0"/>
        </w:numPr>
        <w:spacing w:before="0" w:after="0"/>
        <w:ind w:firstLine="709" w:left="0"/>
        <w:contextualSpacing/>
        <w:rPr>
          <w:sz w:val="26"/>
          <w:szCs w:val="26"/>
          <w:lang w:val="ru-RU"/>
        </w:rPr>
      </w:pPr>
      <w:r>
        <w:rPr>
          <w:sz w:val="26"/>
          <w:szCs w:val="26"/>
          <w:lang w:val="ru-RU"/>
        </w:rPr>
        <w:t xml:space="preserve">При наличии на объектах работ ранее установленной системы учета электроэнергии Подрядчик должен предусмотреть работы по интеграции ранее установленных приборов учета электроэнергии в ИВК ВУ </w:t>
      </w:r>
      <w:r>
        <w:rPr>
          <w:iCs/>
          <w:sz w:val="26"/>
          <w:szCs w:val="26"/>
        </w:rPr>
        <w:t>(без применения промежуточного программного обеспечения)</w:t>
      </w:r>
      <w:r>
        <w:rPr>
          <w:iCs/>
          <w:sz w:val="26"/>
          <w:szCs w:val="26"/>
          <w:lang w:val="ru-RU"/>
        </w:rPr>
        <w:t>, либо предоставить обоснованное заключение о невозможности интеграции</w:t>
      </w:r>
      <w:r>
        <w:rPr>
          <w:sz w:val="26"/>
          <w:szCs w:val="26"/>
          <w:lang w:val="ru-RU"/>
        </w:rPr>
        <w:t>.</w:t>
      </w:r>
    </w:p>
    <w:p>
      <w:pPr>
        <w:pStyle w:val="Normal"/>
        <w:tabs>
          <w:tab w:val="clear" w:pos="709"/>
          <w:tab w:val="left" w:pos="1134"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На этапе проектирования также должно быть выполнено:</w:t>
      </w:r>
    </w:p>
    <w:p>
      <w:pPr>
        <w:pStyle w:val="Normal"/>
        <w:numPr>
          <w:ilvl w:val="0"/>
          <w:numId w:val="12"/>
        </w:numPr>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pPr>
        <w:pStyle w:val="Normal"/>
        <w:numPr>
          <w:ilvl w:val="0"/>
          <w:numId w:val="12"/>
        </w:numPr>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разработка и согласование с Заказчиком технологических карт производства работ по строительно-монтажным, пусконаладочным работам и сдаче в промышленную эксплуатацию готовых объектов.</w:t>
      </w:r>
    </w:p>
    <w:p>
      <w:pPr>
        <w:pStyle w:val="Normal"/>
        <w:tabs>
          <w:tab w:val="clear" w:pos="709"/>
          <w:tab w:val="left" w:pos="1134"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В составе эксплуатационной документации Подрядчиком разрабатываются комплекс организационных и технических мер по обеспечению информационной безопасности объекта информационной инфраструктуры в ходе его эксплуатации. Подрядчик должен разработать проектную документацию на встроенные средства защиты информации в ПО УСПД и приборов учета</w:t>
      </w:r>
      <w:r>
        <w:rPr>
          <w:rStyle w:val="FootnoteReference"/>
          <w:sz w:val="26"/>
          <w:szCs w:val="26"/>
        </w:rPr>
        <w:footnoteReference w:id="2"/>
      </w:r>
      <w:r>
        <w:rPr>
          <w:sz w:val="26"/>
          <w:szCs w:val="26"/>
        </w:rPr>
        <w:t xml:space="preserve">. </w:t>
      </w:r>
    </w:p>
    <w:p>
      <w:pPr>
        <w:pStyle w:val="2H2H2212h22RTCiz2"/>
        <w:numPr>
          <w:ilvl w:val="2"/>
          <w:numId w:val="14"/>
        </w:numPr>
        <w:spacing w:before="0" w:after="0"/>
        <w:ind w:hanging="0" w:left="709"/>
        <w:rPr>
          <w:rFonts w:ascii="Times New Roman" w:hAnsi="Times New Roman"/>
          <w:sz w:val="26"/>
          <w:szCs w:val="26"/>
        </w:rPr>
      </w:pPr>
      <w:bookmarkStart w:id="30" w:name="_Toc7187599"/>
      <w:bookmarkStart w:id="31" w:name="_Ref10103959"/>
      <w:bookmarkStart w:id="32" w:name="_Toc22937991"/>
      <w:bookmarkStart w:id="33" w:name="_Toc32489349"/>
      <w:bookmarkStart w:id="34" w:name="_Toc32496716"/>
      <w:r>
        <w:rPr>
          <w:rFonts w:ascii="Times New Roman" w:hAnsi="Times New Roman"/>
          <w:sz w:val="26"/>
          <w:szCs w:val="26"/>
        </w:rPr>
        <w:t>Требования к проведению предпроектного обследования</w:t>
      </w:r>
      <w:bookmarkEnd w:id="30"/>
      <w:bookmarkEnd w:id="31"/>
      <w:bookmarkEnd w:id="32"/>
      <w:bookmarkEnd w:id="33"/>
      <w:bookmarkEnd w:id="34"/>
    </w:p>
    <w:p>
      <w:pPr>
        <w:pStyle w:val="Normal"/>
        <w:ind w:firstLine="709"/>
        <w:jc w:val="both"/>
        <w:rPr>
          <w:sz w:val="26"/>
          <w:szCs w:val="26"/>
        </w:rPr>
      </w:pPr>
      <w:r>
        <w:rPr>
          <w:sz w:val="26"/>
          <w:szCs w:val="26"/>
        </w:rPr>
        <w:t xml:space="preserve">В результате выполнения ППО представителям Заказчика предоставляется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Требования к данному отчету представлены в Регламенте взаимодействия. Первичная документация для ППО должна быть предоставлена Заказчиком. При проведении предпроектного обследования Подрядчик должен уведомить Заказчика о фактах неучтенного потребления, а Заказчик организовать работу по выявлению неучтенного потребления в соответствии с порядком, предусмотренным Регламентом взаимодействия. </w:t>
      </w:r>
    </w:p>
    <w:p>
      <w:pPr>
        <w:pStyle w:val="Normal"/>
        <w:tabs>
          <w:tab w:val="clear" w:pos="709"/>
          <w:tab w:val="left" w:pos="851" w:leader="none"/>
          <w:tab w:val="left" w:pos="1134" w:leader="none"/>
        </w:tabs>
        <w:spacing w:before="0" w:after="0"/>
        <w:contextualSpacing/>
        <w:jc w:val="both"/>
        <w:rPr>
          <w:sz w:val="26"/>
          <w:szCs w:val="26"/>
        </w:rPr>
      </w:pPr>
      <w:r>
        <w:rPr>
          <w:sz w:val="26"/>
          <w:szCs w:val="26"/>
        </w:rPr>
        <w:tab/>
        <w:t xml:space="preserve">При проведении ППО Подрядчик должен предоставить результаты замеров качества приемо-передачи сигнала по каналам связи PLC, RF, GSM (с указанием оператора связи) и также наличия на объектах (или поблизости) каналов связи </w:t>
      </w:r>
      <w:r>
        <w:rPr>
          <w:sz w:val="26"/>
          <w:szCs w:val="26"/>
          <w:lang w:val="en-US"/>
        </w:rPr>
        <w:t>Ethernet</w:t>
      </w:r>
      <w:r>
        <w:rPr>
          <w:sz w:val="26"/>
          <w:szCs w:val="26"/>
        </w:rPr>
        <w:t>, (или в радиусе действия энергоэффективных каналов радиосвязи) точек доступа проводного интернета (с указанием возможных провайдеров).</w:t>
      </w:r>
    </w:p>
    <w:p>
      <w:pPr>
        <w:pStyle w:val="2H2H2212h22RTCiz2"/>
        <w:spacing w:before="0" w:after="0"/>
        <w:ind w:firstLine="709"/>
        <w:rPr>
          <w:rFonts w:ascii="Times New Roman" w:hAnsi="Times New Roman"/>
          <w:sz w:val="26"/>
          <w:szCs w:val="26"/>
        </w:rPr>
      </w:pPr>
      <w:bookmarkStart w:id="35" w:name="_Toc22937992"/>
      <w:bookmarkStart w:id="36" w:name="_Toc32489350"/>
      <w:bookmarkStart w:id="37" w:name="_Toc32496717"/>
      <w:r>
        <w:rPr>
          <w:rFonts w:ascii="Times New Roman" w:hAnsi="Times New Roman"/>
          <w:sz w:val="26"/>
          <w:szCs w:val="26"/>
        </w:rPr>
        <w:t>3.2.Выполнение работ по монтажу технических средств:</w:t>
      </w:r>
      <w:bookmarkEnd w:id="35"/>
      <w:bookmarkEnd w:id="36"/>
      <w:bookmarkEnd w:id="37"/>
    </w:p>
    <w:p>
      <w:pPr>
        <w:pStyle w:val="Normal"/>
        <w:numPr>
          <w:ilvl w:val="0"/>
          <w:numId w:val="2"/>
        </w:numPr>
        <w:tabs>
          <w:tab w:val="clear" w:pos="709"/>
          <w:tab w:val="left" w:pos="993" w:leader="none"/>
        </w:tabs>
        <w:ind w:firstLine="709" w:left="0"/>
        <w:jc w:val="both"/>
        <w:rPr>
          <w:iCs/>
          <w:sz w:val="26"/>
          <w:szCs w:val="26"/>
        </w:rPr>
      </w:pPr>
      <w:r>
        <w:rPr>
          <w:iCs/>
          <w:sz w:val="26"/>
          <w:szCs w:val="26"/>
        </w:rPr>
        <w:t>комплектация, поставка оборудования и материалов в полном объеме согласно утвержденной спецификации;</w:t>
      </w:r>
    </w:p>
    <w:p>
      <w:pPr>
        <w:pStyle w:val="Normal"/>
        <w:numPr>
          <w:ilvl w:val="0"/>
          <w:numId w:val="2"/>
        </w:numPr>
        <w:tabs>
          <w:tab w:val="clear" w:pos="709"/>
          <w:tab w:val="left" w:pos="993" w:leader="none"/>
        </w:tabs>
        <w:ind w:firstLine="709" w:left="0"/>
        <w:jc w:val="both"/>
        <w:rPr>
          <w:iCs/>
          <w:sz w:val="26"/>
          <w:szCs w:val="26"/>
        </w:rPr>
      </w:pPr>
      <w:r>
        <w:rPr>
          <w:iCs/>
          <w:sz w:val="26"/>
          <w:szCs w:val="26"/>
        </w:rPr>
        <w:t>в соответствии с ПД выполнение монтажа средств измерений (приборы учета электрической энергии, измерительные трансформаторы), оборудования передачи данных, присоединение кабелей резервного питания и интерфейсных кабелей;</w:t>
      </w:r>
    </w:p>
    <w:p>
      <w:pPr>
        <w:pStyle w:val="Normal"/>
        <w:numPr>
          <w:ilvl w:val="0"/>
          <w:numId w:val="2"/>
        </w:numPr>
        <w:tabs>
          <w:tab w:val="clear" w:pos="709"/>
          <w:tab w:val="left" w:pos="993" w:leader="none"/>
        </w:tabs>
        <w:ind w:firstLine="709" w:left="0"/>
        <w:jc w:val="both"/>
        <w:rPr>
          <w:iCs/>
          <w:sz w:val="26"/>
          <w:szCs w:val="26"/>
        </w:rPr>
      </w:pPr>
      <w:r>
        <w:rPr>
          <w:iCs/>
          <w:sz w:val="26"/>
          <w:szCs w:val="26"/>
        </w:rPr>
        <w:t>прокладка необходимых вторичных цепей;</w:t>
      </w:r>
    </w:p>
    <w:p>
      <w:pPr>
        <w:pStyle w:val="Normal"/>
        <w:numPr>
          <w:ilvl w:val="0"/>
          <w:numId w:val="2"/>
        </w:numPr>
        <w:tabs>
          <w:tab w:val="clear" w:pos="709"/>
          <w:tab w:val="left" w:pos="993" w:leader="none"/>
        </w:tabs>
        <w:ind w:firstLine="709" w:left="0"/>
        <w:jc w:val="both"/>
        <w:rPr>
          <w:iCs/>
          <w:sz w:val="26"/>
          <w:szCs w:val="26"/>
        </w:rPr>
      </w:pPr>
      <w:r>
        <w:rPr>
          <w:iCs/>
          <w:sz w:val="26"/>
          <w:szCs w:val="26"/>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pPr>
        <w:pStyle w:val="Normal"/>
        <w:numPr>
          <w:ilvl w:val="0"/>
          <w:numId w:val="2"/>
        </w:numPr>
        <w:tabs>
          <w:tab w:val="clear" w:pos="709"/>
          <w:tab w:val="left" w:pos="993" w:leader="none"/>
        </w:tabs>
        <w:ind w:firstLine="709" w:left="0"/>
        <w:jc w:val="both"/>
        <w:rPr>
          <w:iCs/>
          <w:sz w:val="26"/>
          <w:szCs w:val="26"/>
        </w:rPr>
      </w:pPr>
      <w:r>
        <w:rPr>
          <w:iCs/>
          <w:sz w:val="26"/>
          <w:szCs w:val="26"/>
        </w:rPr>
        <w:t>испытание смонтированных технических средств;</w:t>
      </w:r>
    </w:p>
    <w:p>
      <w:pPr>
        <w:pStyle w:val="Normal"/>
        <w:numPr>
          <w:ilvl w:val="0"/>
          <w:numId w:val="2"/>
        </w:numPr>
        <w:tabs>
          <w:tab w:val="clear" w:pos="709"/>
          <w:tab w:val="left" w:pos="993" w:leader="none"/>
        </w:tabs>
        <w:ind w:firstLine="709" w:left="0"/>
        <w:jc w:val="both"/>
        <w:rPr>
          <w:iCs/>
          <w:sz w:val="26"/>
          <w:szCs w:val="26"/>
        </w:rPr>
      </w:pPr>
      <w:r>
        <w:rPr>
          <w:iCs/>
          <w:sz w:val="26"/>
          <w:szCs w:val="26"/>
        </w:rPr>
        <w:t>оформление акта передачи материальных ценностей (демонтированного оборудования) Заказчика.</w:t>
      </w:r>
    </w:p>
    <w:p>
      <w:pPr>
        <w:pStyle w:val="2H2H2212h22RTCiz2"/>
        <w:spacing w:before="0" w:after="0"/>
        <w:ind w:firstLine="709"/>
        <w:rPr>
          <w:rFonts w:ascii="Times New Roman" w:hAnsi="Times New Roman"/>
          <w:sz w:val="26"/>
          <w:szCs w:val="26"/>
        </w:rPr>
      </w:pPr>
      <w:bookmarkStart w:id="38" w:name="_Toc22937993"/>
      <w:bookmarkStart w:id="39" w:name="_Toc32489351"/>
      <w:bookmarkStart w:id="40" w:name="_Toc32496718"/>
      <w:r>
        <w:rPr>
          <w:rFonts w:ascii="Times New Roman" w:hAnsi="Times New Roman"/>
          <w:sz w:val="26"/>
          <w:szCs w:val="26"/>
        </w:rPr>
        <w:t>3.3. Проведение пусконаладочных работ, включая:</w:t>
      </w:r>
      <w:bookmarkEnd w:id="38"/>
      <w:bookmarkEnd w:id="39"/>
      <w:bookmarkEnd w:id="40"/>
    </w:p>
    <w:p>
      <w:pPr>
        <w:pStyle w:val="Normal"/>
        <w:numPr>
          <w:ilvl w:val="0"/>
          <w:numId w:val="2"/>
        </w:numPr>
        <w:tabs>
          <w:tab w:val="clear" w:pos="709"/>
          <w:tab w:val="left" w:pos="993" w:leader="none"/>
        </w:tabs>
        <w:ind w:firstLine="709" w:left="0"/>
        <w:jc w:val="both"/>
        <w:rPr>
          <w:iCs/>
          <w:sz w:val="26"/>
          <w:szCs w:val="26"/>
        </w:rPr>
      </w:pPr>
      <w:r>
        <w:rPr>
          <w:iCs/>
          <w:sz w:val="26"/>
          <w:szCs w:val="26"/>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pPr>
        <w:pStyle w:val="Normal"/>
        <w:numPr>
          <w:ilvl w:val="0"/>
          <w:numId w:val="2"/>
        </w:numPr>
        <w:tabs>
          <w:tab w:val="clear" w:pos="709"/>
          <w:tab w:val="left" w:pos="993" w:leader="none"/>
        </w:tabs>
        <w:ind w:firstLine="709" w:left="0"/>
        <w:jc w:val="both"/>
        <w:rPr>
          <w:iCs/>
          <w:sz w:val="26"/>
          <w:szCs w:val="26"/>
        </w:rPr>
      </w:pPr>
      <w:r>
        <w:rPr>
          <w:iCs/>
          <w:sz w:val="26"/>
          <w:szCs w:val="26"/>
        </w:rPr>
        <w:t>проверка настроек приборов учета, дистанционных пультов, при установке сплит-счетчиков (выдача потребителям распечатанной на бумаге памятки по работе с выносным дисплеем (пультом));</w:t>
      </w:r>
    </w:p>
    <w:p>
      <w:pPr>
        <w:pStyle w:val="Normal"/>
        <w:numPr>
          <w:ilvl w:val="0"/>
          <w:numId w:val="2"/>
        </w:numPr>
        <w:tabs>
          <w:tab w:val="clear" w:pos="709"/>
          <w:tab w:val="left" w:pos="993" w:leader="none"/>
        </w:tabs>
        <w:ind w:firstLine="709" w:left="0"/>
        <w:jc w:val="both"/>
        <w:rPr>
          <w:iCs/>
          <w:sz w:val="26"/>
          <w:szCs w:val="26"/>
        </w:rPr>
      </w:pPr>
      <w:r>
        <w:rPr>
          <w:iCs/>
          <w:sz w:val="26"/>
          <w:szCs w:val="26"/>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pPr>
        <w:pStyle w:val="Normal"/>
        <w:numPr>
          <w:ilvl w:val="0"/>
          <w:numId w:val="2"/>
        </w:numPr>
        <w:tabs>
          <w:tab w:val="clear" w:pos="709"/>
          <w:tab w:val="left" w:pos="993" w:leader="none"/>
        </w:tabs>
        <w:ind w:firstLine="709" w:left="0"/>
        <w:jc w:val="both"/>
        <w:rPr>
          <w:iCs/>
          <w:sz w:val="26"/>
          <w:szCs w:val="26"/>
        </w:rPr>
      </w:pPr>
      <w:r>
        <w:rPr>
          <w:iCs/>
          <w:sz w:val="26"/>
          <w:szCs w:val="26"/>
        </w:rPr>
        <w:t>обеспечение проверки каналов связи для передачи данных;</w:t>
      </w:r>
    </w:p>
    <w:p>
      <w:pPr>
        <w:pStyle w:val="Normal"/>
        <w:numPr>
          <w:ilvl w:val="0"/>
          <w:numId w:val="2"/>
        </w:numPr>
        <w:tabs>
          <w:tab w:val="clear" w:pos="709"/>
          <w:tab w:val="left" w:pos="993" w:leader="none"/>
        </w:tabs>
        <w:ind w:firstLine="709" w:left="0"/>
        <w:jc w:val="both"/>
        <w:rPr>
          <w:iCs/>
          <w:sz w:val="26"/>
          <w:szCs w:val="26"/>
        </w:rPr>
      </w:pPr>
      <w:r>
        <w:rPr>
          <w:iCs/>
          <w:sz w:val="26"/>
          <w:szCs w:val="26"/>
        </w:rPr>
        <w:t>проведение комплексной наладки всех элементов системы, отладка их взаимодействия;</w:t>
      </w:r>
    </w:p>
    <w:p>
      <w:pPr>
        <w:pStyle w:val="Normal"/>
        <w:numPr>
          <w:ilvl w:val="0"/>
          <w:numId w:val="2"/>
        </w:numPr>
        <w:tabs>
          <w:tab w:val="clear" w:pos="709"/>
          <w:tab w:val="left" w:pos="993" w:leader="none"/>
        </w:tabs>
        <w:ind w:firstLine="709" w:left="0"/>
        <w:jc w:val="both"/>
        <w:rPr>
          <w:iCs/>
          <w:sz w:val="26"/>
          <w:szCs w:val="26"/>
        </w:rPr>
      </w:pPr>
      <w:r>
        <w:rPr>
          <w:iCs/>
          <w:sz w:val="26"/>
          <w:szCs w:val="26"/>
        </w:rPr>
        <w:t>сравнение контрольных сумм в ПО приборов учета и УСПД с эталонными значениями;</w:t>
      </w:r>
    </w:p>
    <w:p>
      <w:pPr>
        <w:pStyle w:val="Normal"/>
        <w:numPr>
          <w:ilvl w:val="0"/>
          <w:numId w:val="2"/>
        </w:numPr>
        <w:tabs>
          <w:tab w:val="clear" w:pos="709"/>
          <w:tab w:val="left" w:pos="993" w:leader="none"/>
        </w:tabs>
        <w:ind w:firstLine="709" w:left="0"/>
        <w:jc w:val="both"/>
        <w:rPr>
          <w:iCs/>
          <w:sz w:val="26"/>
          <w:szCs w:val="26"/>
        </w:rPr>
      </w:pPr>
      <w:r>
        <w:rPr>
          <w:iCs/>
          <w:sz w:val="26"/>
          <w:szCs w:val="26"/>
        </w:rPr>
        <w:t xml:space="preserve">настройка правил безопасности (доступа) ПО приборов учета и УСПД </w:t>
      </w:r>
      <w:r>
        <w:rPr>
          <w:iCs/>
          <w:sz w:val="26"/>
          <w:szCs w:val="26"/>
        </w:rPr>
        <w:br w:type="textWrapping" w:clear="all"/>
      </w:r>
      <w:r>
        <w:rPr>
          <w:iCs/>
          <w:sz w:val="26"/>
          <w:szCs w:val="26"/>
        </w:rPr>
        <w:t>в соответствии с проектной документацией;</w:t>
      </w:r>
    </w:p>
    <w:p>
      <w:pPr>
        <w:pStyle w:val="Normal"/>
        <w:numPr>
          <w:ilvl w:val="0"/>
          <w:numId w:val="2"/>
        </w:numPr>
        <w:tabs>
          <w:tab w:val="clear" w:pos="709"/>
          <w:tab w:val="left" w:pos="993" w:leader="none"/>
        </w:tabs>
        <w:ind w:firstLine="709" w:left="0"/>
        <w:jc w:val="both"/>
        <w:rPr>
          <w:iCs/>
          <w:sz w:val="26"/>
          <w:szCs w:val="26"/>
        </w:rPr>
      </w:pPr>
      <w:r>
        <w:rPr>
          <w:sz w:val="26"/>
          <w:szCs w:val="26"/>
        </w:rPr>
        <w:t>п</w:t>
      </w:r>
      <w:r>
        <w:rPr>
          <w:iCs/>
          <w:sz w:val="26"/>
          <w:szCs w:val="26"/>
        </w:rPr>
        <w:t>роверка доступа с уровня ИВК ВУ для автоматизированного сбора данных с компонентов системы учета электроэнергии без применения промежуточного программного обеспечения;</w:t>
      </w:r>
    </w:p>
    <w:p>
      <w:pPr>
        <w:pStyle w:val="Normal"/>
        <w:numPr>
          <w:ilvl w:val="0"/>
          <w:numId w:val="2"/>
        </w:numPr>
        <w:tabs>
          <w:tab w:val="clear" w:pos="709"/>
          <w:tab w:val="left" w:pos="993" w:leader="none"/>
        </w:tabs>
        <w:jc w:val="both"/>
        <w:rPr>
          <w:iCs/>
          <w:sz w:val="26"/>
          <w:szCs w:val="26"/>
        </w:rPr>
      </w:pPr>
      <w:r>
        <w:rPr>
          <w:iCs/>
          <w:sz w:val="26"/>
          <w:szCs w:val="26"/>
        </w:rPr>
        <w:t xml:space="preserve">выполнение пусконаладочных работ, интеграция вновь установленного оборудования системы учета в целевой информационно-вычислительный комплекс верхнего уровня </w:t>
      </w:r>
      <w:r>
        <w:rPr>
          <w:sz w:val="26"/>
          <w:szCs w:val="26"/>
        </w:rPr>
        <w:t xml:space="preserve">«Пирамида-Сети» АО «ЕЭСК» </w:t>
      </w:r>
      <w:r>
        <w:rPr>
          <w:iCs/>
          <w:sz w:val="26"/>
          <w:szCs w:val="26"/>
        </w:rPr>
        <w:t>(без применения промежуточного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pPr>
        <w:pStyle w:val="Normal"/>
        <w:numPr>
          <w:ilvl w:val="0"/>
          <w:numId w:val="2"/>
        </w:numPr>
        <w:tabs>
          <w:tab w:val="clear" w:pos="709"/>
          <w:tab w:val="left" w:pos="993" w:leader="none"/>
        </w:tabs>
        <w:ind w:firstLine="709" w:left="0"/>
        <w:jc w:val="both"/>
        <w:rPr>
          <w:iCs/>
          <w:sz w:val="26"/>
          <w:szCs w:val="26"/>
        </w:rPr>
      </w:pPr>
      <w:r>
        <w:rPr>
          <w:iCs/>
          <w:sz w:val="26"/>
          <w:szCs w:val="26"/>
        </w:rPr>
        <w:t>занесение НСИ в базу данных ИВК ВУ для автоматического сбора данных с вновь смонтированных точек учета на обьектах и фидерах 6-20/0,4 кВ и в базу данных ОИК ЦУС для организации телеконтроля энергообъектов номинального напряжения 6-10 (20) кВ и телеуправления ими</w:t>
      </w:r>
      <w:r>
        <w:rPr>
          <w:sz w:val="26"/>
          <w:szCs w:val="26"/>
        </w:rPr>
        <w:t xml:space="preserve"> (при наличии на объектах необходимых датчиков и коммутационных аппаратов)</w:t>
      </w:r>
      <w:r>
        <w:rPr>
          <w:iCs/>
          <w:sz w:val="26"/>
          <w:szCs w:val="26"/>
        </w:rPr>
        <w:t>;</w:t>
      </w:r>
    </w:p>
    <w:p>
      <w:pPr>
        <w:pStyle w:val="Normal"/>
        <w:numPr>
          <w:ilvl w:val="0"/>
          <w:numId w:val="2"/>
        </w:numPr>
        <w:tabs>
          <w:tab w:val="clear" w:pos="709"/>
          <w:tab w:val="left" w:pos="993" w:leader="none"/>
        </w:tabs>
        <w:ind w:firstLine="709" w:left="0"/>
        <w:jc w:val="both"/>
        <w:rPr>
          <w:iCs/>
          <w:sz w:val="26"/>
          <w:szCs w:val="26"/>
        </w:rPr>
      </w:pPr>
      <w:r>
        <w:rPr>
          <w:iCs/>
          <w:sz w:val="26"/>
          <w:szCs w:val="26"/>
        </w:rPr>
        <w:t>перевод оборудования на работу под управлением ИВК ВУ без применения промежуточного программного обеспечения;</w:t>
      </w:r>
    </w:p>
    <w:p>
      <w:pPr>
        <w:pStyle w:val="Normal"/>
        <w:numPr>
          <w:ilvl w:val="0"/>
          <w:numId w:val="2"/>
        </w:numPr>
        <w:tabs>
          <w:tab w:val="clear" w:pos="709"/>
          <w:tab w:val="left" w:pos="993" w:leader="none"/>
        </w:tabs>
        <w:ind w:firstLine="709" w:left="0"/>
        <w:jc w:val="both"/>
        <w:rPr>
          <w:iCs/>
          <w:sz w:val="26"/>
          <w:szCs w:val="26"/>
        </w:rPr>
      </w:pPr>
      <w:r>
        <w:rPr>
          <w:iCs/>
          <w:sz w:val="26"/>
          <w:szCs w:val="26"/>
        </w:rPr>
        <w:t>проверка функционирования системы учета электроэнергии в соответствии с методикой испытаний;</w:t>
      </w:r>
    </w:p>
    <w:p>
      <w:pPr>
        <w:pStyle w:val="Normal"/>
        <w:numPr>
          <w:ilvl w:val="0"/>
          <w:numId w:val="2"/>
        </w:numPr>
        <w:tabs>
          <w:tab w:val="clear" w:pos="709"/>
          <w:tab w:val="left" w:pos="993" w:leader="none"/>
        </w:tabs>
        <w:ind w:firstLine="709" w:left="0"/>
        <w:jc w:val="both"/>
        <w:rPr>
          <w:iCs/>
          <w:sz w:val="26"/>
          <w:szCs w:val="26"/>
        </w:rPr>
      </w:pPr>
      <w:r>
        <w:rPr>
          <w:iCs/>
          <w:sz w:val="26"/>
          <w:szCs w:val="26"/>
        </w:rPr>
        <w:t>организация двустороннего информационного обмена (ТИ, ТС, ТУ) с ОИК ЦУС (для систем учета энергообъектов номинального напряжения 6-10 (20) кВ</w:t>
      </w:r>
      <w:r>
        <w:rPr>
          <w:sz w:val="26"/>
          <w:szCs w:val="26"/>
        </w:rPr>
        <w:t xml:space="preserve"> при наличии на объекте необходимых датчиков и коммутационных аппаратов</w:t>
      </w:r>
      <w:r>
        <w:rPr>
          <w:iCs/>
          <w:sz w:val="26"/>
          <w:szCs w:val="26"/>
        </w:rPr>
        <w:t>);</w:t>
      </w:r>
    </w:p>
    <w:p>
      <w:pPr>
        <w:pStyle w:val="Normal"/>
        <w:numPr>
          <w:ilvl w:val="0"/>
          <w:numId w:val="2"/>
        </w:numPr>
        <w:tabs>
          <w:tab w:val="clear" w:pos="709"/>
          <w:tab w:val="left" w:pos="993" w:leader="none"/>
        </w:tabs>
        <w:ind w:firstLine="709" w:left="0"/>
        <w:jc w:val="both"/>
        <w:rPr>
          <w:iCs/>
          <w:sz w:val="26"/>
          <w:szCs w:val="26"/>
        </w:rPr>
      </w:pPr>
      <w:r>
        <w:rPr>
          <w:iCs/>
          <w:sz w:val="26"/>
          <w:szCs w:val="26"/>
        </w:rPr>
        <w:t>оформление актов о приемке выполненных работ;</w:t>
      </w:r>
    </w:p>
    <w:p>
      <w:pPr>
        <w:pStyle w:val="Normal"/>
        <w:numPr>
          <w:ilvl w:val="0"/>
          <w:numId w:val="2"/>
        </w:numPr>
        <w:tabs>
          <w:tab w:val="clear" w:pos="709"/>
          <w:tab w:val="left" w:pos="993" w:leader="none"/>
        </w:tabs>
        <w:ind w:firstLine="709" w:left="0"/>
        <w:jc w:val="both"/>
        <w:rPr>
          <w:iCs/>
          <w:sz w:val="26"/>
          <w:szCs w:val="26"/>
        </w:rPr>
      </w:pPr>
      <w:r>
        <w:rPr>
          <w:iCs/>
          <w:sz w:val="26"/>
          <w:szCs w:val="26"/>
        </w:rPr>
        <w:t>представление Заказчику приемосдаточной документации в соответствии с утвержденным перечнем документов, согласованным с Заказчиком.</w:t>
      </w:r>
    </w:p>
    <w:p>
      <w:pPr>
        <w:pStyle w:val="Normal"/>
        <w:ind w:firstLine="709"/>
        <w:jc w:val="both"/>
        <w:rPr>
          <w:sz w:val="26"/>
          <w:szCs w:val="26"/>
        </w:rPr>
      </w:pPr>
      <w:r>
        <w:rPr>
          <w:sz w:val="26"/>
          <w:szCs w:val="26"/>
        </w:rPr>
        <w:t>Персонал, выполняющий пусконаладочные работы, должен представить сертификаты о прохождении обучения у организации-изготовителя ИВК ВУ.</w:t>
      </w:r>
    </w:p>
    <w:p>
      <w:pPr>
        <w:pStyle w:val="Normal"/>
        <w:ind w:firstLine="709"/>
        <w:rPr>
          <w:sz w:val="26"/>
          <w:szCs w:val="26"/>
        </w:rPr>
      </w:pPr>
      <w:r>
        <w:rPr>
          <w:sz w:val="26"/>
          <w:szCs w:val="26"/>
        </w:rPr>
        <w:t xml:space="preserve">Подрядчик предоставляет фотографии смонтированных технических средств на объектах Заказчика. Фотографии должны быть формата </w:t>
      </w:r>
      <w:r>
        <w:rPr>
          <w:sz w:val="26"/>
          <w:szCs w:val="26"/>
          <w:lang w:val="en-US"/>
        </w:rPr>
        <w:t>JPEG</w:t>
      </w:r>
      <w:r>
        <w:rPr>
          <w:sz w:val="26"/>
          <w:szCs w:val="26"/>
        </w:rPr>
        <w:t xml:space="preserve"> и содержать следующие данные - дата, время и данные геолокации.</w:t>
      </w:r>
    </w:p>
    <w:p>
      <w:pPr>
        <w:pStyle w:val="2H2H2212h22RTCiz2"/>
        <w:spacing w:before="0" w:after="0"/>
        <w:ind w:firstLine="709"/>
        <w:rPr>
          <w:rFonts w:ascii="Times New Roman" w:hAnsi="Times New Roman"/>
          <w:sz w:val="26"/>
          <w:szCs w:val="26"/>
        </w:rPr>
      </w:pPr>
      <w:bookmarkStart w:id="41" w:name="_Toc22937994"/>
      <w:bookmarkStart w:id="42" w:name="_Toc32489352"/>
      <w:bookmarkStart w:id="43" w:name="_Toc32496719"/>
      <w:r>
        <w:rPr>
          <w:rFonts w:ascii="Times New Roman" w:hAnsi="Times New Roman"/>
          <w:sz w:val="26"/>
          <w:szCs w:val="26"/>
        </w:rPr>
        <w:t>3.4. Предварительные испытания:</w:t>
      </w:r>
      <w:bookmarkEnd w:id="41"/>
      <w:bookmarkEnd w:id="42"/>
      <w:bookmarkEnd w:id="43"/>
    </w:p>
    <w:p>
      <w:pPr>
        <w:pStyle w:val="Normal"/>
        <w:numPr>
          <w:ilvl w:val="0"/>
          <w:numId w:val="2"/>
        </w:numPr>
        <w:tabs>
          <w:tab w:val="clear" w:pos="709"/>
          <w:tab w:val="left" w:pos="993" w:leader="none"/>
        </w:tabs>
        <w:ind w:firstLine="709" w:left="0"/>
        <w:jc w:val="both"/>
        <w:rPr>
          <w:iCs/>
          <w:sz w:val="26"/>
          <w:szCs w:val="26"/>
        </w:rPr>
      </w:pPr>
      <w:r>
        <w:rPr>
          <w:iCs/>
          <w:sz w:val="26"/>
          <w:szCs w:val="26"/>
        </w:rPr>
        <w:t>проверка настроек приборов учета</w:t>
      </w:r>
      <w:r>
        <w:rPr>
          <w:iCs/>
          <w:sz w:val="26"/>
          <w:szCs w:val="26"/>
          <w:lang w:val="en-US"/>
        </w:rPr>
        <w:t>;</w:t>
      </w:r>
    </w:p>
    <w:p>
      <w:pPr>
        <w:pStyle w:val="Normal"/>
        <w:numPr>
          <w:ilvl w:val="0"/>
          <w:numId w:val="2"/>
        </w:numPr>
        <w:tabs>
          <w:tab w:val="clear" w:pos="709"/>
          <w:tab w:val="left" w:pos="993" w:leader="none"/>
        </w:tabs>
        <w:ind w:firstLine="709" w:left="0"/>
        <w:jc w:val="both"/>
        <w:rPr>
          <w:iCs/>
          <w:sz w:val="26"/>
          <w:szCs w:val="26"/>
        </w:rPr>
      </w:pPr>
      <w:r>
        <w:rPr>
          <w:iCs/>
          <w:sz w:val="26"/>
          <w:szCs w:val="26"/>
        </w:rPr>
        <w:t>проверка доступа с уровня ИВК ВУ для автоматизированного сбора данных с системы учета электроэнергии без применения промежуточного программного обеспечения;</w:t>
      </w:r>
    </w:p>
    <w:p>
      <w:pPr>
        <w:pStyle w:val="Normal"/>
        <w:numPr>
          <w:ilvl w:val="0"/>
          <w:numId w:val="2"/>
        </w:numPr>
        <w:tabs>
          <w:tab w:val="clear" w:pos="709"/>
          <w:tab w:val="left" w:pos="1134" w:leader="none"/>
          <w:tab w:val="left" w:pos="7144" w:leader="none"/>
          <w:tab w:val="left" w:pos="10182" w:leader="none"/>
          <w:tab w:val="left" w:pos="11203" w:leader="none"/>
          <w:tab w:val="left" w:pos="13807" w:leader="none"/>
          <w:tab w:val="left" w:pos="15354" w:leader="none"/>
        </w:tabs>
        <w:ind w:firstLine="709" w:left="0"/>
        <w:jc w:val="both"/>
        <w:rPr/>
      </w:pPr>
      <w:r>
        <w:rPr/>
        <w:t>проверка с уровня ИВК ВУ возможности параметрирования приборов учета, установки тарифного расписания;</w:t>
      </w:r>
    </w:p>
    <w:p>
      <w:pPr>
        <w:pStyle w:val="Normal"/>
        <w:numPr>
          <w:ilvl w:val="0"/>
          <w:numId w:val="2"/>
        </w:numPr>
        <w:tabs>
          <w:tab w:val="clear" w:pos="709"/>
          <w:tab w:val="left" w:pos="1134" w:leader="none"/>
          <w:tab w:val="left" w:pos="7144" w:leader="none"/>
          <w:tab w:val="left" w:pos="10182" w:leader="none"/>
          <w:tab w:val="left" w:pos="11203" w:leader="none"/>
          <w:tab w:val="left" w:pos="13807" w:leader="none"/>
          <w:tab w:val="left" w:pos="15354" w:leader="none"/>
        </w:tabs>
        <w:ind w:firstLine="709" w:left="0"/>
        <w:jc w:val="both"/>
        <w:rPr/>
      </w:pPr>
      <w:r>
        <w:rPr/>
        <w:t>проверка с уровня ИВК ВУ возможности дистанционного отключения/включения встроенного реле управления нагрузкой приборов учета, отображения в ИВК ВУ состояния реле приборов учета;</w:t>
      </w:r>
    </w:p>
    <w:p>
      <w:pPr>
        <w:pStyle w:val="Normal"/>
        <w:numPr>
          <w:ilvl w:val="0"/>
          <w:numId w:val="2"/>
        </w:numPr>
        <w:tabs>
          <w:tab w:val="clear" w:pos="709"/>
          <w:tab w:val="left" w:pos="993" w:leader="none"/>
        </w:tabs>
        <w:ind w:firstLine="709" w:left="0"/>
        <w:jc w:val="both"/>
        <w:rPr>
          <w:iCs/>
          <w:sz w:val="26"/>
          <w:szCs w:val="26"/>
        </w:rPr>
      </w:pPr>
      <w:r>
        <w:rPr>
          <w:iCs/>
          <w:sz w:val="26"/>
          <w:szCs w:val="26"/>
        </w:rPr>
        <w:t>проверка функционирования системы учета электроэнергии в соответствии с методикой испытаний;</w:t>
      </w:r>
    </w:p>
    <w:p>
      <w:pPr>
        <w:pStyle w:val="Normal"/>
        <w:numPr>
          <w:ilvl w:val="0"/>
          <w:numId w:val="2"/>
        </w:numPr>
        <w:tabs>
          <w:tab w:val="clear" w:pos="709"/>
          <w:tab w:val="left" w:pos="993" w:leader="none"/>
        </w:tabs>
        <w:ind w:firstLine="709" w:left="0"/>
        <w:jc w:val="both"/>
        <w:rPr>
          <w:iCs/>
          <w:sz w:val="26"/>
          <w:szCs w:val="26"/>
        </w:rPr>
      </w:pPr>
      <w:r>
        <w:rPr>
          <w:iCs/>
          <w:sz w:val="26"/>
          <w:szCs w:val="26"/>
        </w:rPr>
        <w:t>проверка двустороннего информационного обмена (ТИ, ТС, ТУ) с ОИК ЦУС (для систем учета энергообъектов номинального напряжения 6-10 (20) кВ</w:t>
      </w:r>
      <w:r>
        <w:rPr>
          <w:sz w:val="26"/>
          <w:szCs w:val="26"/>
        </w:rPr>
        <w:t xml:space="preserve"> при наличии на объекте необходимых датчиков и коммутационных аппаратов</w:t>
      </w:r>
      <w:r>
        <w:rPr>
          <w:iCs/>
          <w:sz w:val="26"/>
          <w:szCs w:val="26"/>
        </w:rPr>
        <w:t>)</w:t>
      </w:r>
      <w:r>
        <w:rPr/>
        <w:t xml:space="preserve"> </w:t>
      </w:r>
      <w:r>
        <w:rPr>
          <w:iCs/>
          <w:sz w:val="26"/>
          <w:szCs w:val="26"/>
        </w:rPr>
        <w:t>в соответствии с методикой испытаний;</w:t>
      </w:r>
    </w:p>
    <w:p>
      <w:pPr>
        <w:pStyle w:val="Normal"/>
        <w:numPr>
          <w:ilvl w:val="0"/>
          <w:numId w:val="2"/>
        </w:numPr>
        <w:tabs>
          <w:tab w:val="clear" w:pos="709"/>
          <w:tab w:val="left" w:pos="993" w:leader="none"/>
        </w:tabs>
        <w:ind w:firstLine="709" w:left="0"/>
        <w:jc w:val="both"/>
        <w:rPr>
          <w:iCs/>
          <w:sz w:val="26"/>
          <w:szCs w:val="26"/>
        </w:rPr>
      </w:pPr>
      <w:r>
        <w:rPr>
          <w:iCs/>
          <w:sz w:val="26"/>
          <w:szCs w:val="26"/>
        </w:rPr>
        <w:t>оформление результатов испытаний</w:t>
      </w:r>
      <w:r>
        <w:rPr>
          <w:iCs/>
          <w:sz w:val="26"/>
          <w:szCs w:val="26"/>
          <w:lang w:val="en-US"/>
        </w:rPr>
        <w:t>;</w:t>
      </w:r>
    </w:p>
    <w:p>
      <w:pPr>
        <w:pStyle w:val="Normal"/>
        <w:numPr>
          <w:ilvl w:val="0"/>
          <w:numId w:val="2"/>
        </w:numPr>
        <w:tabs>
          <w:tab w:val="clear" w:pos="709"/>
          <w:tab w:val="left" w:pos="993" w:leader="none"/>
        </w:tabs>
        <w:ind w:firstLine="709" w:left="0"/>
        <w:jc w:val="both"/>
        <w:rPr>
          <w:iCs/>
          <w:sz w:val="26"/>
          <w:szCs w:val="26"/>
        </w:rPr>
      </w:pPr>
      <w:r>
        <w:rPr>
          <w:iCs/>
          <w:sz w:val="26"/>
          <w:szCs w:val="26"/>
        </w:rPr>
        <w:t>оформление акта о приемке в опытную эксплуатацию.</w:t>
      </w:r>
    </w:p>
    <w:p>
      <w:pPr>
        <w:pStyle w:val="2H2H2212h22RTCiz2"/>
        <w:spacing w:before="0" w:after="0"/>
        <w:ind w:firstLine="709"/>
        <w:rPr>
          <w:rFonts w:ascii="Times New Roman" w:hAnsi="Times New Roman"/>
          <w:sz w:val="26"/>
          <w:szCs w:val="26"/>
        </w:rPr>
      </w:pPr>
      <w:bookmarkStart w:id="44" w:name="_Toc22937995"/>
      <w:bookmarkStart w:id="45" w:name="_Toc32489353"/>
      <w:bookmarkStart w:id="46" w:name="_Toc32496720"/>
      <w:r>
        <w:rPr>
          <w:rFonts w:ascii="Times New Roman" w:hAnsi="Times New Roman"/>
          <w:sz w:val="26"/>
          <w:szCs w:val="26"/>
        </w:rPr>
        <w:t>3.5. Опытная эксплуатация:</w:t>
      </w:r>
      <w:bookmarkEnd w:id="44"/>
      <w:bookmarkEnd w:id="45"/>
      <w:bookmarkEnd w:id="46"/>
    </w:p>
    <w:p>
      <w:pPr>
        <w:pStyle w:val="Normal"/>
        <w:widowControl w:val="false"/>
        <w:tabs>
          <w:tab w:val="clear" w:pos="709"/>
          <w:tab w:val="left" w:pos="1134"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Перед вводом в опытную эксплуатацию объектов информационной инфраструктуры Заказчик проводит оценку 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pPr>
        <w:pStyle w:val="Normal"/>
        <w:widowControl w:val="false"/>
        <w:tabs>
          <w:tab w:val="clear" w:pos="709"/>
          <w:tab w:val="left" w:pos="1134"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На этапе опытной эксплуатации выполняется Заказчиком:</w:t>
      </w:r>
    </w:p>
    <w:p>
      <w:pPr>
        <w:pStyle w:val="Normal"/>
        <w:numPr>
          <w:ilvl w:val="0"/>
          <w:numId w:val="2"/>
        </w:numPr>
        <w:tabs>
          <w:tab w:val="clear" w:pos="709"/>
          <w:tab w:val="left" w:pos="993" w:leader="none"/>
        </w:tabs>
        <w:ind w:firstLine="709" w:left="0"/>
        <w:jc w:val="both"/>
        <w:rPr>
          <w:iCs/>
          <w:sz w:val="26"/>
          <w:szCs w:val="26"/>
        </w:rPr>
      </w:pPr>
      <w:r>
        <w:rPr>
          <w:iCs/>
          <w:sz w:val="26"/>
          <w:szCs w:val="26"/>
        </w:rPr>
        <w:t>ведение журнала опытной эксплуатации с указанием отклонений от нормального режима работы системы учета, замечаний и предложений, возникающих в рамках проведения опытной эксплуатации;</w:t>
      </w:r>
    </w:p>
    <w:p>
      <w:pPr>
        <w:pStyle w:val="Normal"/>
        <w:numPr>
          <w:ilvl w:val="0"/>
          <w:numId w:val="2"/>
        </w:numPr>
        <w:tabs>
          <w:tab w:val="clear" w:pos="709"/>
          <w:tab w:val="left" w:pos="993" w:leader="none"/>
        </w:tabs>
        <w:ind w:firstLine="709" w:left="0"/>
        <w:jc w:val="both"/>
        <w:rPr>
          <w:iCs/>
          <w:sz w:val="26"/>
          <w:szCs w:val="26"/>
        </w:rPr>
      </w:pPr>
      <w:r>
        <w:rPr>
          <w:iCs/>
          <w:sz w:val="26"/>
          <w:szCs w:val="26"/>
        </w:rPr>
        <w:t>ведение в ЦУС журнала опытной эксплуатации с указанием отклонений от нормального режима работы, замечаний и предложений, возникающих в рамках проведения опытной эксплуатации системы учета в части выполнения ею телемеханических функций (для энергообъектов номинального напряжения 6-10 (20) кВ</w:t>
      </w:r>
      <w:r>
        <w:rPr>
          <w:sz w:val="26"/>
          <w:szCs w:val="26"/>
        </w:rPr>
        <w:t xml:space="preserve"> при наличии на объекте необходимых датчиков и коммутационных аппаратов</w:t>
      </w:r>
      <w:r>
        <w:rPr>
          <w:iCs/>
          <w:sz w:val="26"/>
          <w:szCs w:val="26"/>
        </w:rPr>
        <w:t>);</w:t>
      </w:r>
    </w:p>
    <w:p>
      <w:pPr>
        <w:pStyle w:val="Normal"/>
        <w:numPr>
          <w:ilvl w:val="0"/>
          <w:numId w:val="2"/>
        </w:numPr>
        <w:tabs>
          <w:tab w:val="clear" w:pos="709"/>
          <w:tab w:val="left" w:pos="993" w:leader="none"/>
        </w:tabs>
        <w:ind w:firstLine="709" w:left="0"/>
        <w:jc w:val="both"/>
        <w:rPr>
          <w:iCs/>
          <w:sz w:val="26"/>
          <w:szCs w:val="26"/>
        </w:rPr>
      </w:pPr>
      <w:r>
        <w:rPr>
          <w:iCs/>
          <w:sz w:val="26"/>
          <w:szCs w:val="26"/>
        </w:rPr>
        <w:t>организация работ по анализу результатов опытной эксплуатации;</w:t>
      </w:r>
    </w:p>
    <w:p>
      <w:pPr>
        <w:pStyle w:val="Normal"/>
        <w:tabs>
          <w:tab w:val="clear" w:pos="709"/>
          <w:tab w:val="left" w:pos="1134" w:leader="none"/>
        </w:tabs>
        <w:ind w:firstLine="709"/>
        <w:jc w:val="both"/>
        <w:rPr>
          <w:sz w:val="26"/>
          <w:szCs w:val="26"/>
        </w:rPr>
      </w:pPr>
      <w:r>
        <w:rPr>
          <w:sz w:val="26"/>
          <w:szCs w:val="26"/>
        </w:rPr>
        <w:t>На этапе опытной эксплуатации выполняется Подрядчиком:</w:t>
      </w:r>
    </w:p>
    <w:p>
      <w:pPr>
        <w:pStyle w:val="Normal"/>
        <w:numPr>
          <w:ilvl w:val="0"/>
          <w:numId w:val="3"/>
        </w:numPr>
        <w:tabs>
          <w:tab w:val="clear" w:pos="709"/>
          <w:tab w:val="left" w:pos="1134" w:leader="none"/>
        </w:tabs>
        <w:ind w:firstLine="709" w:left="0"/>
        <w:jc w:val="both"/>
        <w:rPr>
          <w:spacing w:val="-5"/>
          <w:sz w:val="26"/>
          <w:szCs w:val="26"/>
        </w:rPr>
      </w:pPr>
      <w:r>
        <w:rPr>
          <w:spacing w:val="-5"/>
          <w:sz w:val="26"/>
          <w:szCs w:val="26"/>
        </w:rPr>
        <w:t>производится устранение нарушений, связанных с настройкой и функционированием оборудования;</w:t>
      </w:r>
    </w:p>
    <w:p>
      <w:pPr>
        <w:pStyle w:val="Normal"/>
        <w:numPr>
          <w:ilvl w:val="0"/>
          <w:numId w:val="3"/>
        </w:numPr>
        <w:tabs>
          <w:tab w:val="clear" w:pos="709"/>
          <w:tab w:val="left" w:pos="1134" w:leader="none"/>
        </w:tabs>
        <w:ind w:firstLine="709" w:left="0"/>
        <w:jc w:val="both"/>
        <w:rPr>
          <w:sz w:val="26"/>
          <w:szCs w:val="26"/>
        </w:rPr>
      </w:pPr>
      <w:r>
        <w:rPr>
          <w:sz w:val="26"/>
          <w:szCs w:val="26"/>
        </w:rPr>
        <w:t>замена вышедшего из строя оборудования;</w:t>
      </w:r>
    </w:p>
    <w:p>
      <w:pPr>
        <w:pStyle w:val="Normal"/>
        <w:widowControl w:val="false"/>
        <w:numPr>
          <w:ilvl w:val="0"/>
          <w:numId w:val="3"/>
        </w:numPr>
        <w:tabs>
          <w:tab w:val="clear" w:pos="709"/>
          <w:tab w:val="left" w:pos="1134"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оформление акта о завершении опытной эксплуатации.</w:t>
      </w:r>
    </w:p>
    <w:p>
      <w:pPr>
        <w:pStyle w:val="2H2H2212h22RTCiz2"/>
        <w:spacing w:before="0" w:after="0"/>
        <w:ind w:firstLine="709"/>
        <w:rPr>
          <w:rFonts w:ascii="Times New Roman" w:hAnsi="Times New Roman"/>
          <w:sz w:val="26"/>
          <w:szCs w:val="26"/>
        </w:rPr>
      </w:pPr>
      <w:bookmarkStart w:id="47" w:name="_Toc22937996"/>
      <w:bookmarkStart w:id="48" w:name="_Toc32489354"/>
      <w:bookmarkStart w:id="49" w:name="_Toc32496721"/>
      <w:r>
        <w:rPr>
          <w:rFonts w:ascii="Times New Roman" w:hAnsi="Times New Roman"/>
          <w:sz w:val="26"/>
          <w:szCs w:val="26"/>
        </w:rPr>
        <w:t>3.6. Приемочные испытания систем учета:</w:t>
      </w:r>
      <w:bookmarkEnd w:id="47"/>
      <w:bookmarkEnd w:id="48"/>
      <w:bookmarkEnd w:id="49"/>
    </w:p>
    <w:p>
      <w:pPr>
        <w:pStyle w:val="Normal"/>
        <w:widowControl w:val="false"/>
        <w:numPr>
          <w:ilvl w:val="0"/>
          <w:numId w:val="3"/>
        </w:numPr>
        <w:tabs>
          <w:tab w:val="clear" w:pos="709"/>
          <w:tab w:val="left" w:pos="1134"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анализ результатов испытаний и устранение недостатков, выявленных при испытаниях;</w:t>
      </w:r>
    </w:p>
    <w:p>
      <w:pPr>
        <w:pStyle w:val="Normal"/>
        <w:numPr>
          <w:ilvl w:val="0"/>
          <w:numId w:val="3"/>
        </w:numPr>
        <w:tabs>
          <w:tab w:val="clear" w:pos="709"/>
          <w:tab w:val="left" w:pos="1134"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оформление акта о приемке системы учета электроэнергии в промышленную эксплуатацию приемочной комиссией по каждому объекту отдельно.</w:t>
      </w:r>
      <w:r>
        <w:rPr>
          <w:sz w:val="26"/>
          <w:szCs w:val="26"/>
        </w:rPr>
        <w:br w:type="textWrapping" w:clear="all"/>
      </w:r>
    </w:p>
    <w:p>
      <w:pPr>
        <w:pStyle w:val="Heading1"/>
        <w:spacing w:before="0" w:after="0"/>
        <w:ind w:firstLine="709"/>
        <w:rPr>
          <w:sz w:val="26"/>
          <w:szCs w:val="26"/>
        </w:rPr>
      </w:pPr>
      <w:bookmarkStart w:id="50" w:name="_Toc22937997"/>
      <w:bookmarkStart w:id="51" w:name="_Toc32489355"/>
      <w:bookmarkStart w:id="52" w:name="_Toc32496722"/>
      <w:r>
        <w:rPr>
          <w:sz w:val="26"/>
          <w:szCs w:val="26"/>
        </w:rPr>
        <w:t>4. Требования к систем</w:t>
      </w:r>
      <w:r>
        <w:rPr>
          <w:sz w:val="26"/>
          <w:szCs w:val="26"/>
          <w:lang w:val="ru-RU"/>
        </w:rPr>
        <w:t>е</w:t>
      </w:r>
      <w:r>
        <w:rPr>
          <w:sz w:val="26"/>
          <w:szCs w:val="26"/>
        </w:rPr>
        <w:t xml:space="preserve"> учета электрической энергии</w:t>
      </w:r>
      <w:bookmarkEnd w:id="50"/>
      <w:bookmarkEnd w:id="51"/>
      <w:bookmarkEnd w:id="52"/>
    </w:p>
    <w:p>
      <w:pPr>
        <w:pStyle w:val="2H2H2212h22RTCiz2"/>
        <w:spacing w:before="0" w:after="0"/>
        <w:ind w:firstLine="709"/>
        <w:rPr>
          <w:rFonts w:ascii="Times New Roman" w:hAnsi="Times New Roman"/>
          <w:sz w:val="26"/>
          <w:szCs w:val="26"/>
        </w:rPr>
      </w:pPr>
      <w:bookmarkStart w:id="53" w:name="_Toc22937998"/>
      <w:bookmarkStart w:id="54" w:name="_Toc32489356"/>
      <w:bookmarkStart w:id="55" w:name="_Toc32496723"/>
      <w:r>
        <w:rPr>
          <w:rFonts w:ascii="Times New Roman" w:hAnsi="Times New Roman"/>
          <w:sz w:val="26"/>
          <w:szCs w:val="26"/>
        </w:rPr>
        <w:t>4.1. Общие требования к систем</w:t>
      </w:r>
      <w:r>
        <w:rPr>
          <w:rFonts w:ascii="Times New Roman" w:hAnsi="Times New Roman"/>
          <w:sz w:val="26"/>
          <w:szCs w:val="26"/>
          <w:lang w:val="ru-RU"/>
        </w:rPr>
        <w:t>е</w:t>
      </w:r>
      <w:r>
        <w:rPr>
          <w:rFonts w:ascii="Times New Roman" w:hAnsi="Times New Roman"/>
          <w:sz w:val="26"/>
          <w:szCs w:val="26"/>
        </w:rPr>
        <w:t xml:space="preserve"> учета электрической энергии</w:t>
      </w:r>
      <w:bookmarkEnd w:id="53"/>
      <w:bookmarkEnd w:id="54"/>
      <w:bookmarkEnd w:id="55"/>
    </w:p>
    <w:p>
      <w:pPr>
        <w:pStyle w:val="19"/>
        <w:numPr>
          <w:ilvl w:val="0"/>
          <w:numId w:val="0"/>
        </w:numPr>
        <w:spacing w:before="0" w:after="0"/>
        <w:ind w:firstLine="709" w:left="0"/>
        <w:contextualSpacing/>
        <w:rPr>
          <w:sz w:val="26"/>
          <w:szCs w:val="26"/>
        </w:rPr>
      </w:pPr>
      <w:r>
        <w:rPr>
          <w:sz w:val="26"/>
          <w:szCs w:val="26"/>
        </w:rPr>
        <w:t xml:space="preserve">Технические средства создаваемой </w:t>
      </w:r>
      <w:r>
        <w:rPr>
          <w:sz w:val="26"/>
          <w:szCs w:val="26"/>
          <w:lang w:val="ru-RU"/>
        </w:rPr>
        <w:t>системы учета электроэнергии</w:t>
      </w:r>
      <w:r>
        <w:rPr>
          <w:sz w:val="26"/>
          <w:szCs w:val="26"/>
        </w:rPr>
        <w:t xml:space="preserve">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w:t>
      </w:r>
      <w:r>
        <w:rPr>
          <w:sz w:val="26"/>
          <w:szCs w:val="26"/>
          <w:lang w:val="ru-RU"/>
        </w:rPr>
        <w:t>.</w:t>
      </w:r>
    </w:p>
    <w:p>
      <w:pPr>
        <w:pStyle w:val="19"/>
        <w:numPr>
          <w:ilvl w:val="0"/>
          <w:numId w:val="0"/>
        </w:numPr>
        <w:spacing w:before="0" w:after="0"/>
        <w:ind w:hanging="0" w:left="0"/>
        <w:contextualSpacing/>
        <w:rPr>
          <w:sz w:val="26"/>
          <w:szCs w:val="26"/>
        </w:rPr>
      </w:pPr>
      <w:r>
        <w:rPr>
          <w:sz w:val="26"/>
          <w:szCs w:val="26"/>
          <w:lang w:val="ru-RU"/>
        </w:rPr>
        <w:tab/>
        <w:t>Система учета должна о</w:t>
      </w:r>
      <w:r>
        <w:rPr>
          <w:sz w:val="26"/>
          <w:szCs w:val="26"/>
        </w:rPr>
        <w:t>беспечи</w:t>
      </w:r>
      <w:r>
        <w:rPr>
          <w:sz w:val="26"/>
          <w:szCs w:val="26"/>
          <w:lang w:val="ru-RU"/>
        </w:rPr>
        <w:t>ва</w:t>
      </w:r>
      <w:r>
        <w:rPr>
          <w:sz w:val="26"/>
          <w:szCs w:val="26"/>
        </w:rPr>
        <w:t>ть</w:t>
      </w:r>
      <w:r>
        <w:rPr>
          <w:sz w:val="26"/>
          <w:szCs w:val="26"/>
          <w:lang w:val="ru-RU"/>
        </w:rPr>
        <w:t>:</w:t>
      </w:r>
    </w:p>
    <w:p>
      <w:pPr>
        <w:pStyle w:val="19"/>
        <w:numPr>
          <w:ilvl w:val="0"/>
          <w:numId w:val="15"/>
        </w:numPr>
        <w:tabs>
          <w:tab w:val="clear" w:pos="709"/>
          <w:tab w:val="left" w:pos="993" w:leader="none"/>
        </w:tabs>
        <w:spacing w:before="0" w:after="0"/>
        <w:ind w:firstLine="709" w:left="0"/>
        <w:contextualSpacing/>
        <w:rPr>
          <w:sz w:val="26"/>
          <w:szCs w:val="26"/>
          <w:lang w:val="ru-RU"/>
        </w:rPr>
      </w:pPr>
      <w:r>
        <w:rPr>
          <w:sz w:val="26"/>
          <w:szCs w:val="26"/>
          <w:lang w:val="ru-RU"/>
        </w:rPr>
        <w:t xml:space="preserve">сбор и архивирование </w:t>
      </w:r>
      <w:r>
        <w:rPr>
          <w:sz w:val="26"/>
          <w:szCs w:val="26"/>
        </w:rPr>
        <w:t>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w:t>
      </w:r>
      <w:r>
        <w:rPr>
          <w:sz w:val="26"/>
          <w:szCs w:val="26"/>
          <w:lang w:val="ru-RU"/>
        </w:rPr>
        <w:t xml:space="preserve"> в </w:t>
      </w:r>
      <w:r>
        <w:rPr>
          <w:sz w:val="26"/>
          <w:szCs w:val="26"/>
        </w:rPr>
        <w:t>ИВК</w:t>
      </w:r>
      <w:r>
        <w:rPr>
          <w:sz w:val="26"/>
          <w:szCs w:val="26"/>
          <w:lang w:val="ru-RU"/>
        </w:rPr>
        <w:t xml:space="preserve"> ВУ </w:t>
      </w:r>
      <w:r>
        <w:rPr>
          <w:iCs/>
          <w:sz w:val="26"/>
          <w:szCs w:val="26"/>
        </w:rPr>
        <w:t>(без применения промежуточного программного обеспечения)</w:t>
      </w:r>
      <w:r>
        <w:rPr>
          <w:sz w:val="26"/>
          <w:szCs w:val="26"/>
          <w:lang w:val="ru-RU"/>
        </w:rPr>
        <w:t xml:space="preserve"> и доступ к ним соответствующих АРМ;</w:t>
      </w:r>
    </w:p>
    <w:p>
      <w:pPr>
        <w:pStyle w:val="19"/>
        <w:numPr>
          <w:ilvl w:val="0"/>
          <w:numId w:val="15"/>
        </w:numPr>
        <w:tabs>
          <w:tab w:val="clear" w:pos="709"/>
          <w:tab w:val="left" w:pos="993" w:leader="none"/>
        </w:tabs>
        <w:spacing w:before="0" w:after="0"/>
        <w:ind w:firstLine="709" w:left="0"/>
        <w:contextualSpacing/>
        <w:rPr>
          <w:sz w:val="26"/>
          <w:szCs w:val="26"/>
          <w:lang w:val="ru-RU"/>
        </w:rPr>
      </w:pPr>
      <w:r>
        <w:rPr>
          <w:sz w:val="26"/>
          <w:szCs w:val="26"/>
          <w:lang w:val="ru-RU"/>
        </w:rPr>
        <w:t>передачу телеинформации (ТИ, ТС) в ОИК ЦУС, прием из ОИК ЦУС и передачу на исполнение команд телеуправления (для энергообъектов номинального напряжения 6-10 (20) кВ (при наличии на объекте необходимых датчиков и коммутационных аппаратов);</w:t>
      </w:r>
    </w:p>
    <w:p>
      <w:pPr>
        <w:pStyle w:val="19"/>
        <w:numPr>
          <w:ilvl w:val="0"/>
          <w:numId w:val="15"/>
        </w:numPr>
        <w:tabs>
          <w:tab w:val="clear" w:pos="709"/>
          <w:tab w:val="left" w:pos="993" w:leader="none"/>
        </w:tabs>
        <w:spacing w:before="0" w:after="0"/>
        <w:ind w:firstLine="709" w:left="0"/>
        <w:contextualSpacing/>
        <w:rPr>
          <w:sz w:val="26"/>
          <w:szCs w:val="26"/>
          <w:lang w:val="ru-RU"/>
        </w:rPr>
      </w:pPr>
      <w:r>
        <w:rPr>
          <w:sz w:val="26"/>
          <w:szCs w:val="26"/>
          <w:lang w:val="ru-RU"/>
        </w:rPr>
        <w:t>управление приборами учета электроэнергии (коммутационными аппаратами) и их параметрирование</w:t>
      </w:r>
      <w:r>
        <w:rPr/>
        <w:t xml:space="preserve"> </w:t>
      </w:r>
      <w:r>
        <w:rPr>
          <w:sz w:val="26"/>
          <w:szCs w:val="26"/>
          <w:lang w:val="ru-RU"/>
        </w:rPr>
        <w:t>со стороны Заказчика на базе ИВК ВУ «Пирамида-Сети»;</w:t>
      </w:r>
    </w:p>
    <w:p>
      <w:pPr>
        <w:pStyle w:val="19"/>
        <w:numPr>
          <w:ilvl w:val="0"/>
          <w:numId w:val="15"/>
        </w:numPr>
        <w:tabs>
          <w:tab w:val="clear" w:pos="709"/>
          <w:tab w:val="left" w:pos="993" w:leader="none"/>
        </w:tabs>
        <w:spacing w:before="0" w:after="0"/>
        <w:ind w:firstLine="709" w:left="0"/>
        <w:contextualSpacing/>
        <w:rPr>
          <w:sz w:val="26"/>
          <w:szCs w:val="26"/>
          <w:lang w:val="ru-RU"/>
        </w:rPr>
      </w:pPr>
      <w:r>
        <w:rPr>
          <w:sz w:val="26"/>
          <w:szCs w:val="26"/>
          <w:lang w:val="ru-RU"/>
        </w:rPr>
        <w:t xml:space="preserve">для нетарифных договоров - </w:t>
      </w:r>
      <w:r>
        <w:rPr>
          <w:sz w:val="26"/>
          <w:szCs w:val="26"/>
        </w:rPr>
        <w:t xml:space="preserve">вычисление баланса электроэнергии </w:t>
      </w:r>
      <w:r>
        <w:rPr>
          <w:sz w:val="26"/>
          <w:szCs w:val="26"/>
          <w:lang w:val="ru-RU"/>
        </w:rPr>
        <w:t xml:space="preserve">в ИВК ВУ </w:t>
      </w:r>
      <w:r>
        <w:rPr>
          <w:iCs/>
          <w:sz w:val="26"/>
          <w:szCs w:val="26"/>
        </w:rPr>
        <w:t>(без применения промежуточного программного обеспечения)</w:t>
      </w:r>
      <w:r>
        <w:rPr>
          <w:sz w:val="26"/>
          <w:szCs w:val="26"/>
          <w:lang w:val="ru-RU"/>
        </w:rPr>
        <w:t xml:space="preserve"> </w:t>
      </w:r>
      <w:r>
        <w:rPr>
          <w:sz w:val="26"/>
          <w:szCs w:val="26"/>
        </w:rPr>
        <w:t xml:space="preserve">по </w:t>
      </w:r>
      <w:r>
        <w:rPr>
          <w:sz w:val="26"/>
          <w:szCs w:val="26"/>
          <w:lang w:val="ru-RU"/>
        </w:rPr>
        <w:t xml:space="preserve">фидерам 6-20/0,4 кВ, секциям шин каждого класса напряжения, распределительным устройствам каждого класса напряжения и </w:t>
      </w:r>
      <w:r>
        <w:rPr>
          <w:sz w:val="26"/>
          <w:szCs w:val="26"/>
        </w:rPr>
        <w:t>подстанци</w:t>
      </w:r>
      <w:r>
        <w:rPr>
          <w:sz w:val="26"/>
          <w:szCs w:val="26"/>
          <w:lang w:val="ru-RU"/>
        </w:rPr>
        <w:t>ям</w:t>
      </w:r>
      <w:r>
        <w:rPr>
          <w:sz w:val="26"/>
          <w:szCs w:val="26"/>
        </w:rPr>
        <w:t xml:space="preserve"> в целом с учетом собственных и хозяйственных нужд, сравнение фактического небаланса с допустимым значением небаланса, а также контроль достоверности передаваемых/получаемых данных</w:t>
      </w:r>
      <w:r>
        <w:rPr>
          <w:sz w:val="26"/>
          <w:szCs w:val="26"/>
          <w:lang w:val="ru-RU"/>
        </w:rPr>
        <w:t>;</w:t>
      </w:r>
    </w:p>
    <w:p>
      <w:pPr>
        <w:pStyle w:val="19"/>
        <w:numPr>
          <w:ilvl w:val="0"/>
          <w:numId w:val="15"/>
        </w:numPr>
        <w:tabs>
          <w:tab w:val="clear" w:pos="709"/>
          <w:tab w:val="left" w:pos="993" w:leader="none"/>
        </w:tabs>
        <w:spacing w:before="0" w:after="0"/>
        <w:ind w:firstLine="709" w:left="0"/>
        <w:contextualSpacing/>
        <w:rPr>
          <w:sz w:val="26"/>
          <w:szCs w:val="26"/>
          <w:lang w:val="ru-RU"/>
        </w:rPr>
      </w:pPr>
      <w:r>
        <w:rPr>
          <w:sz w:val="26"/>
          <w:szCs w:val="26"/>
          <w:lang w:val="ru-RU"/>
        </w:rPr>
        <w:t>удаленный</w:t>
      </w:r>
      <w:r>
        <w:rPr>
          <w:sz w:val="26"/>
          <w:szCs w:val="26"/>
        </w:rPr>
        <w:t xml:space="preserve"> доступ к приборам учета и УСПД</w:t>
      </w:r>
      <w:r>
        <w:rPr>
          <w:sz w:val="26"/>
          <w:szCs w:val="26"/>
          <w:lang w:val="ru-RU"/>
        </w:rPr>
        <w:t xml:space="preserve"> </w:t>
      </w:r>
      <w:r>
        <w:rPr>
          <w:sz w:val="26"/>
          <w:szCs w:val="26"/>
        </w:rPr>
        <w:t xml:space="preserve">со стороны  </w:t>
      </w:r>
      <w:r>
        <w:rPr>
          <w:sz w:val="26"/>
          <w:szCs w:val="26"/>
          <w:lang w:val="ru-RU"/>
        </w:rPr>
        <w:t xml:space="preserve">«АО «ЕЭСК» </w:t>
      </w:r>
      <w:r>
        <w:rPr>
          <w:sz w:val="26"/>
          <w:szCs w:val="26"/>
        </w:rPr>
        <w:t xml:space="preserve">на базе </w:t>
      </w:r>
      <w:r>
        <w:rPr>
          <w:sz w:val="26"/>
          <w:szCs w:val="26"/>
          <w:lang w:val="ru-RU"/>
        </w:rPr>
        <w:t xml:space="preserve">ИВК «Пирамида-сети» </w:t>
      </w:r>
      <w:r>
        <w:rPr>
          <w:iCs/>
          <w:sz w:val="26"/>
          <w:szCs w:val="26"/>
        </w:rPr>
        <w:t>без применения промежуточного программного обеспечения</w:t>
      </w:r>
      <w:r>
        <w:rPr>
          <w:sz w:val="26"/>
          <w:szCs w:val="26"/>
          <w:lang w:val="ru-RU"/>
        </w:rPr>
        <w:t>;</w:t>
      </w:r>
    </w:p>
    <w:p>
      <w:pPr>
        <w:pStyle w:val="19"/>
        <w:numPr>
          <w:ilvl w:val="0"/>
          <w:numId w:val="15"/>
        </w:numPr>
        <w:tabs>
          <w:tab w:val="clear" w:pos="709"/>
          <w:tab w:val="left" w:pos="993" w:leader="none"/>
        </w:tabs>
        <w:spacing w:before="0" w:after="0"/>
        <w:ind w:firstLine="709" w:left="0"/>
        <w:contextualSpacing/>
        <w:rPr>
          <w:sz w:val="26"/>
          <w:szCs w:val="26"/>
        </w:rPr>
      </w:pPr>
      <w:r>
        <w:rPr>
          <w:sz w:val="26"/>
          <w:szCs w:val="26"/>
          <w:lang w:val="ru-RU"/>
        </w:rPr>
        <w:t>сохранность информации на уровнях ИВКЭ, ИВК ВУ при возникновении любых нештатных ситуаций;</w:t>
      </w:r>
    </w:p>
    <w:p>
      <w:pPr>
        <w:pStyle w:val="19"/>
        <w:numPr>
          <w:ilvl w:val="0"/>
          <w:numId w:val="15"/>
        </w:numPr>
        <w:tabs>
          <w:tab w:val="clear" w:pos="709"/>
          <w:tab w:val="left" w:pos="993" w:leader="none"/>
        </w:tabs>
        <w:spacing w:before="0" w:after="0"/>
        <w:ind w:firstLine="709" w:left="0"/>
        <w:contextualSpacing/>
        <w:rPr>
          <w:sz w:val="26"/>
          <w:szCs w:val="26"/>
          <w:lang w:val="ru-RU"/>
        </w:rPr>
      </w:pPr>
      <w:r>
        <w:rPr>
          <w:sz w:val="26"/>
          <w:szCs w:val="26"/>
          <w:lang w:val="ru-RU"/>
        </w:rPr>
        <w:t>после восстановления электропитания должна быть обеспечена процедура восстановления требуемого объема информации по иерархии системы.</w:t>
      </w:r>
    </w:p>
    <w:p>
      <w:pPr>
        <w:pStyle w:val="19"/>
        <w:numPr>
          <w:ilvl w:val="0"/>
          <w:numId w:val="0"/>
        </w:numPr>
        <w:spacing w:before="0" w:after="0"/>
        <w:ind w:firstLine="709" w:left="0"/>
        <w:contextualSpacing/>
        <w:rPr>
          <w:sz w:val="26"/>
          <w:szCs w:val="26"/>
        </w:rPr>
      </w:pPr>
      <w:r>
        <w:rPr>
          <w:sz w:val="26"/>
          <w:szCs w:val="26"/>
          <w:lang w:val="ru-RU"/>
        </w:rPr>
        <w:t>В рамках реализации нетарифных договоров д</w:t>
      </w:r>
      <w:r>
        <w:rPr>
          <w:sz w:val="26"/>
          <w:szCs w:val="26"/>
        </w:rPr>
        <w:t xml:space="preserve">ля распределительных устройств </w:t>
      </w:r>
      <w:r>
        <w:rPr>
          <w:sz w:val="26"/>
          <w:szCs w:val="26"/>
          <w:lang w:val="ru-RU"/>
        </w:rPr>
        <w:t>6 </w:t>
      </w:r>
      <w:r>
        <w:rPr>
          <w:sz w:val="26"/>
          <w:szCs w:val="26"/>
        </w:rPr>
        <w:t xml:space="preserve">кВ и выше с обходной системой шин при отсутствии трансформаторов тока в линии (за линейным разъединителем) должны быть разработаны решения по обеспечению автоматизированной фиксации перевода линии на обходной выключатель (при использовании данной информации для расчета значений учетных показателей), с отражением в </w:t>
      </w:r>
      <w:r>
        <w:rPr>
          <w:sz w:val="26"/>
          <w:szCs w:val="26"/>
          <w:lang w:val="ru-RU"/>
        </w:rPr>
        <w:t>П</w:t>
      </w:r>
      <w:r>
        <w:rPr>
          <w:sz w:val="26"/>
          <w:szCs w:val="26"/>
        </w:rPr>
        <w:t>МИ расчета количества электроэнергии через присоединение</w:t>
      </w:r>
      <w:r>
        <w:rPr>
          <w:sz w:val="26"/>
          <w:szCs w:val="26"/>
          <w:lang w:val="ru-RU"/>
        </w:rPr>
        <w:t>.</w:t>
      </w:r>
    </w:p>
    <w:p>
      <w:pPr>
        <w:pStyle w:val="19"/>
        <w:numPr>
          <w:ilvl w:val="0"/>
          <w:numId w:val="0"/>
        </w:numPr>
        <w:spacing w:before="0" w:after="0"/>
        <w:ind w:firstLine="709" w:left="0"/>
        <w:contextualSpacing/>
        <w:rPr>
          <w:sz w:val="26"/>
          <w:szCs w:val="26"/>
          <w:lang w:val="ru-RU"/>
        </w:rPr>
      </w:pPr>
      <w:r>
        <w:rPr>
          <w:sz w:val="26"/>
          <w:szCs w:val="26"/>
          <w:lang w:val="ru-RU"/>
        </w:rPr>
        <w:t>Всё оборудование создаваемой системы учета 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 (не более 1 часа).</w:t>
      </w:r>
    </w:p>
    <w:p>
      <w:pPr>
        <w:pStyle w:val="19"/>
        <w:numPr>
          <w:ilvl w:val="0"/>
          <w:numId w:val="0"/>
        </w:numPr>
        <w:spacing w:before="0" w:after="0"/>
        <w:ind w:firstLine="709" w:left="0"/>
        <w:contextualSpacing/>
        <w:rPr>
          <w:sz w:val="26"/>
          <w:szCs w:val="26"/>
          <w:lang w:val="ru-RU"/>
        </w:rPr>
      </w:pPr>
      <w:r>
        <w:rPr>
          <w:sz w:val="26"/>
          <w:szCs w:val="26"/>
          <w:lang w:val="ru-RU"/>
        </w:rPr>
        <w:t xml:space="preserve">При проектировании должно быть проработано взаимодействие с ИВК ВУ и ОИК ЦУС в отношении  приборов учета, установленных на присоединениях ТП и РП 6-20 кВ, обеспечивающее своевременную бесперебойную передачу данных . </w:t>
      </w:r>
    </w:p>
    <w:p>
      <w:pPr>
        <w:pStyle w:val="19"/>
        <w:numPr>
          <w:ilvl w:val="0"/>
          <w:numId w:val="0"/>
        </w:numPr>
        <w:ind w:firstLine="709" w:left="0"/>
        <w:rPr>
          <w:sz w:val="26"/>
          <w:szCs w:val="26"/>
          <w:lang w:val="ru-RU"/>
        </w:rPr>
      </w:pPr>
      <w:r>
        <w:rPr>
          <w:sz w:val="26"/>
          <w:szCs w:val="26"/>
          <w:lang w:val="ru-RU"/>
        </w:rPr>
        <w:t xml:space="preserve">Обмен оперативной информацией с вышестоящими уровнями управления </w:t>
      </w:r>
      <w:r>
        <w:rPr>
          <w:sz w:val="26"/>
          <w:szCs w:val="26"/>
          <w:lang w:val="ru-RU"/>
        </w:rPr>
        <w:br w:type="textWrapping" w:clear="all"/>
      </w:r>
      <w:r>
        <w:rPr>
          <w:sz w:val="26"/>
          <w:szCs w:val="26"/>
          <w:lang w:val="ru-RU"/>
        </w:rPr>
        <w:t>(с ОИК ЦУС) должен осуществляться с использованием протоколов передачи данных по МЭК 61850 (допускается использование канала связи с ИВК с разделением на логическом уровне).</w:t>
      </w:r>
    </w:p>
    <w:p>
      <w:pPr>
        <w:pStyle w:val="19"/>
        <w:numPr>
          <w:ilvl w:val="0"/>
          <w:numId w:val="0"/>
        </w:numPr>
        <w:spacing w:before="0" w:after="0"/>
        <w:ind w:firstLine="709" w:left="0"/>
        <w:contextualSpacing/>
        <w:rPr>
          <w:sz w:val="26"/>
          <w:szCs w:val="26"/>
          <w:lang w:val="ru-RU"/>
        </w:rPr>
      </w:pPr>
      <w:r>
        <w:rPr>
          <w:sz w:val="26"/>
          <w:szCs w:val="26"/>
          <w:lang w:val="ru-RU"/>
        </w:rPr>
        <w:t>Допускается применение протоколов передачи данных МЭК 60870-5-104 при невозможности вышестоящего уровня управления осуществлять информационное взаимодействие с использованием протоколов передачи данных по МЭК 61850, при этом должна быть предусмотрена техническая возможность перепрограммирования устройств системы учета электросетевого объекта и оперативного перехода на информационное взаимодействие по МЭК 61850 при соответствующей готовности вышестоящего уровня управления (ОИК ЦУС) без дополнительных затрат для Заказчика и без необходимости замены основного и вспомогательного оборудования.</w:t>
      </w:r>
    </w:p>
    <w:p>
      <w:pPr>
        <w:pStyle w:val="19"/>
        <w:numPr>
          <w:ilvl w:val="0"/>
          <w:numId w:val="0"/>
        </w:numPr>
        <w:spacing w:before="0" w:after="0"/>
        <w:ind w:firstLine="709" w:left="0"/>
        <w:contextualSpacing/>
        <w:rPr>
          <w:sz w:val="26"/>
          <w:szCs w:val="26"/>
          <w:lang w:val="ru-RU"/>
        </w:rPr>
      </w:pPr>
      <w:r>
        <w:rPr>
          <w:sz w:val="26"/>
          <w:szCs w:val="26"/>
          <w:lang w:val="ru-RU"/>
        </w:rPr>
        <w:t xml:space="preserve">Программное обеспечение, применяемые протоколы ИИК и ИВКЭ системы учета должны быть открытыми, соответствующими стандартным протоколам, применяющимся в ПАО «Россети». </w:t>
      </w:r>
    </w:p>
    <w:p>
      <w:pPr>
        <w:pStyle w:val="19"/>
        <w:numPr>
          <w:ilvl w:val="0"/>
          <w:numId w:val="0"/>
        </w:numPr>
        <w:spacing w:before="0" w:after="0"/>
        <w:ind w:firstLine="709" w:left="0"/>
        <w:contextualSpacing/>
        <w:rPr>
          <w:sz w:val="26"/>
          <w:szCs w:val="26"/>
          <w:lang w:val="ru-RU"/>
        </w:rPr>
      </w:pPr>
      <w:r>
        <w:rPr>
          <w:sz w:val="26"/>
          <w:szCs w:val="26"/>
          <w:lang w:val="ru-RU"/>
        </w:rPr>
        <w:t xml:space="preserve">Смонтированное оборудование (ИИК / ИВКЭ) должно быть интегрировано в целевой ИВК ВУ «Пирамида - Сети» АО «ЕЭСК» </w:t>
      </w:r>
      <w:r>
        <w:rPr>
          <w:iCs/>
          <w:sz w:val="26"/>
          <w:szCs w:val="26"/>
        </w:rPr>
        <w:t>без применения промежуточного программного обеспечения</w:t>
      </w:r>
      <w:r>
        <w:rPr>
          <w:sz w:val="26"/>
          <w:szCs w:val="26"/>
          <w:lang w:val="ru-RU"/>
        </w:rPr>
        <w:t>.</w:t>
      </w:r>
    </w:p>
    <w:p>
      <w:pPr>
        <w:pStyle w:val="19"/>
        <w:numPr>
          <w:ilvl w:val="0"/>
          <w:numId w:val="0"/>
        </w:numPr>
        <w:spacing w:before="0" w:after="0"/>
        <w:ind w:firstLine="709" w:left="0"/>
        <w:contextualSpacing/>
        <w:rPr>
          <w:sz w:val="26"/>
          <w:szCs w:val="26"/>
          <w:lang w:val="ru-RU"/>
        </w:rPr>
      </w:pPr>
      <w:r>
        <w:rPr>
          <w:sz w:val="26"/>
          <w:szCs w:val="26"/>
          <w:lang w:val="ru-RU"/>
        </w:rPr>
        <w:t>Система учета должна осуществлять следующие функции:</w:t>
      </w:r>
    </w:p>
    <w:p>
      <w:pPr>
        <w:pStyle w:val="19"/>
        <w:numPr>
          <w:ilvl w:val="0"/>
          <w:numId w:val="0"/>
        </w:numPr>
        <w:ind w:firstLine="709" w:left="0"/>
        <w:rPr>
          <w:sz w:val="26"/>
          <w:szCs w:val="26"/>
          <w:lang w:val="ru-RU"/>
        </w:rPr>
      </w:pPr>
      <w:r>
        <w:rPr>
          <w:sz w:val="26"/>
          <w:szCs w:val="26"/>
          <w:lang w:val="ru-RU"/>
        </w:rPr>
        <w:t>- сбор значений накопленной с начала месяца энергии суммарно и раздельно по всем тарифам;</w:t>
      </w:r>
    </w:p>
    <w:p>
      <w:pPr>
        <w:pStyle w:val="19"/>
        <w:numPr>
          <w:ilvl w:val="0"/>
          <w:numId w:val="0"/>
        </w:numPr>
        <w:ind w:firstLine="709" w:left="0"/>
        <w:rPr>
          <w:sz w:val="26"/>
          <w:szCs w:val="26"/>
          <w:lang w:val="ru-RU"/>
        </w:rPr>
      </w:pPr>
      <w:r>
        <w:rPr>
          <w:sz w:val="26"/>
          <w:szCs w:val="26"/>
          <w:lang w:val="ru-RU"/>
        </w:rPr>
        <w:t>- сбор значений активной мощности, усредненной за прошедший 60 минутный интервал;</w:t>
      </w:r>
    </w:p>
    <w:p>
      <w:pPr>
        <w:pStyle w:val="19"/>
        <w:numPr>
          <w:ilvl w:val="0"/>
          <w:numId w:val="0"/>
        </w:numPr>
        <w:ind w:firstLine="709" w:left="0"/>
        <w:rPr>
          <w:sz w:val="26"/>
          <w:szCs w:val="26"/>
          <w:lang w:val="ru-RU"/>
        </w:rPr>
      </w:pPr>
      <w:r>
        <w:rPr>
          <w:sz w:val="26"/>
          <w:szCs w:val="26"/>
          <w:lang w:val="ru-RU"/>
        </w:rPr>
        <w:t>- сбор записей журналов событий приборов учета и УСПД;</w:t>
      </w:r>
    </w:p>
    <w:p>
      <w:pPr>
        <w:pStyle w:val="19"/>
        <w:numPr>
          <w:ilvl w:val="0"/>
          <w:numId w:val="0"/>
        </w:numPr>
        <w:ind w:firstLine="709" w:left="0"/>
        <w:rPr>
          <w:sz w:val="26"/>
          <w:szCs w:val="26"/>
          <w:lang w:val="ru-RU"/>
        </w:rPr>
      </w:pPr>
      <w:r>
        <w:rPr>
          <w:sz w:val="26"/>
          <w:szCs w:val="26"/>
          <w:lang w:val="ru-RU"/>
        </w:rPr>
        <w:t>- управление (ограничение, отключение/включение) нагрузкой потребления по каждому присоединению/прибору учета с уровня ИВК ВУ «Пирамида-Сети»;</w:t>
      </w:r>
    </w:p>
    <w:p>
      <w:pPr>
        <w:pStyle w:val="19"/>
        <w:numPr>
          <w:ilvl w:val="0"/>
          <w:numId w:val="0"/>
        </w:numPr>
        <w:spacing w:before="0" w:after="0"/>
        <w:ind w:firstLine="709" w:left="0"/>
        <w:contextualSpacing/>
        <w:rPr>
          <w:sz w:val="26"/>
          <w:szCs w:val="26"/>
          <w:lang w:val="ru-RU"/>
        </w:rPr>
      </w:pPr>
      <w:r>
        <w:rPr>
          <w:sz w:val="26"/>
          <w:szCs w:val="26"/>
          <w:lang w:val="ru-RU"/>
        </w:rPr>
        <w:t>- дистанционное (посредством ИВК ВУ) параметрирование приборов учета и их групп, в том числе установка тарифного расписания приборов учета, с уровня ИВК ВУ «Пирамида-Сети»;</w:t>
        <w:tab/>
        <w:t>- к</w:t>
      </w:r>
      <w:r>
        <w:rPr>
          <w:sz w:val="26"/>
          <w:szCs w:val="26"/>
        </w:rPr>
        <w:t xml:space="preserve">онтроль параметров </w:t>
      </w:r>
      <w:r>
        <w:rPr>
          <w:sz w:val="26"/>
          <w:szCs w:val="26"/>
          <w:lang w:val="ru-RU"/>
        </w:rPr>
        <w:t xml:space="preserve">качества </w:t>
      </w:r>
      <w:r>
        <w:rPr>
          <w:sz w:val="26"/>
          <w:szCs w:val="26"/>
        </w:rPr>
        <w:t xml:space="preserve">электрической </w:t>
      </w:r>
      <w:r>
        <w:rPr>
          <w:sz w:val="26"/>
          <w:szCs w:val="26"/>
          <w:lang w:val="ru-RU"/>
        </w:rPr>
        <w:t xml:space="preserve">энергии (медленное изменение напряжения и перенапряжение). </w:t>
      </w:r>
      <w:r>
        <w:rPr>
          <w:bCs/>
          <w:sz w:val="26"/>
          <w:szCs w:val="26"/>
          <w:lang w:val="ru-RU"/>
        </w:rPr>
        <w:t>Параметр медленного изменения напряжения, определяемый суммарной продолжительностью времени положительного и отрицательного отклонения уровня напряжения в точке измерения электрической энергии считается нарушенным, если отклонение произошло на величину более 10% от номинального напряжения в интервале измерений, равном 10 минутам. Параметр перенапряжения, определяемый количеством фактов положительного отклонения уровня напряжения в точке поставки электрической энергии считается нарушенным, если отклонение произошло на величину 20% и более от номинального напряжения;</w:t>
      </w:r>
    </w:p>
    <w:p>
      <w:pPr>
        <w:pStyle w:val="19"/>
        <w:numPr>
          <w:ilvl w:val="0"/>
          <w:numId w:val="0"/>
        </w:numPr>
        <w:ind w:firstLine="360" w:left="0"/>
        <w:rPr>
          <w:sz w:val="26"/>
          <w:szCs w:val="26"/>
        </w:rPr>
      </w:pPr>
      <w:r>
        <w:rPr>
          <w:sz w:val="26"/>
          <w:szCs w:val="26"/>
        </w:rPr>
        <w:tab/>
      </w:r>
      <w:r>
        <w:rPr>
          <w:sz w:val="26"/>
          <w:szCs w:val="26"/>
          <w:lang w:val="ru-RU"/>
        </w:rPr>
        <w:t>- управление приборами учета электроэнергии (коммутационными аппаратами) и их параметрирование</w:t>
      </w:r>
      <w:r>
        <w:rPr>
          <w:sz w:val="26"/>
          <w:szCs w:val="26"/>
        </w:rPr>
        <w:t>;</w:t>
      </w:r>
    </w:p>
    <w:p>
      <w:pPr>
        <w:pStyle w:val="19"/>
        <w:numPr>
          <w:ilvl w:val="0"/>
          <w:numId w:val="0"/>
        </w:numPr>
        <w:ind w:firstLine="709" w:left="0"/>
        <w:rPr>
          <w:sz w:val="26"/>
          <w:szCs w:val="26"/>
          <w:lang w:val="ru-RU"/>
        </w:rPr>
      </w:pPr>
      <w:r>
        <w:rPr>
          <w:sz w:val="26"/>
          <w:szCs w:val="26"/>
          <w:lang w:val="ru-RU"/>
        </w:rPr>
        <w:t>- передачу телесигналов и телеизмерений (при наличии на объекте соответствующих датчиков)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pPr>
        <w:pStyle w:val="19"/>
        <w:numPr>
          <w:ilvl w:val="0"/>
          <w:numId w:val="0"/>
        </w:numPr>
        <w:ind w:firstLine="709" w:left="0"/>
        <w:rPr>
          <w:sz w:val="26"/>
          <w:szCs w:val="26"/>
        </w:rPr>
      </w:pPr>
      <w:r>
        <w:rPr>
          <w:sz w:val="26"/>
          <w:szCs w:val="26"/>
          <w:lang w:val="ru-RU"/>
        </w:rPr>
        <w:t>- прием из ПТК ЦУС и передачу на исполнительные устройства команд телеуправления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 (при наличии на объекте необходимых коммутационных аппаратов).</w:t>
      </w:r>
    </w:p>
    <w:p>
      <w:pPr>
        <w:pStyle w:val="19"/>
        <w:numPr>
          <w:ilvl w:val="0"/>
          <w:numId w:val="0"/>
        </w:numPr>
        <w:spacing w:before="0" w:after="0"/>
        <w:ind w:firstLine="709" w:left="0"/>
        <w:contextualSpacing/>
        <w:rPr>
          <w:sz w:val="26"/>
          <w:szCs w:val="26"/>
          <w:lang w:val="ru-RU"/>
        </w:rPr>
      </w:pPr>
      <w:r>
        <w:rPr>
          <w:sz w:val="26"/>
          <w:szCs w:val="26"/>
          <w:lang w:val="ru-RU"/>
        </w:rPr>
        <w:t>Система должна производить автоматический сбор и хранение информации в базе данных в течение</w:t>
      </w:r>
      <w:r>
        <w:rPr/>
        <w:t xml:space="preserve"> не менее</w:t>
      </w:r>
      <w:r>
        <w:rPr>
          <w:sz w:val="26"/>
          <w:szCs w:val="26"/>
          <w:lang w:val="ru-RU"/>
        </w:rPr>
        <w:t xml:space="preserve"> 3,5 лет с регулярным резервированием на внешних носителях информации, обеспечивать в отсутствие внешней синхронизации отсчет времени с погрешностью не более </w:t>
      </w:r>
      <w:r>
        <w:rPr>
          <w:rFonts w:eastAsia="Symbol" w:cs="Symbol" w:ascii="Symbol" w:hAnsi="Symbol"/>
          <w:sz w:val="26"/>
          <w:szCs w:val="26"/>
          <w:lang w:val="ru-RU"/>
        </w:rPr>
        <w:t>±</w:t>
      </w:r>
      <w:r>
        <w:rPr>
          <w:sz w:val="26"/>
          <w:szCs w:val="26"/>
          <w:lang w:val="ru-RU"/>
        </w:rPr>
        <w:t>5 секунд в сутки.</w:t>
      </w:r>
    </w:p>
    <w:p>
      <w:pPr>
        <w:pStyle w:val="2H2H2212h22RTCiz2"/>
        <w:spacing w:before="0" w:after="0"/>
        <w:ind w:firstLine="709"/>
        <w:rPr>
          <w:rFonts w:ascii="Times New Roman" w:hAnsi="Times New Roman"/>
          <w:sz w:val="26"/>
          <w:szCs w:val="26"/>
        </w:rPr>
      </w:pPr>
      <w:bookmarkStart w:id="56" w:name="_Toc22937999"/>
      <w:bookmarkStart w:id="57" w:name="_Toc32489357"/>
      <w:bookmarkStart w:id="58" w:name="_Toc32496724"/>
      <w:r>
        <w:rPr>
          <w:rFonts w:ascii="Times New Roman" w:hAnsi="Times New Roman"/>
          <w:sz w:val="26"/>
          <w:szCs w:val="26"/>
        </w:rPr>
        <w:t>4.</w:t>
      </w:r>
      <w:r>
        <w:rPr>
          <w:rFonts w:ascii="Times New Roman" w:hAnsi="Times New Roman"/>
          <w:sz w:val="26"/>
          <w:szCs w:val="26"/>
          <w:lang w:val="ru-RU"/>
        </w:rPr>
        <w:t>2</w:t>
      </w:r>
      <w:r>
        <w:rPr>
          <w:rFonts w:ascii="Times New Roman" w:hAnsi="Times New Roman"/>
          <w:sz w:val="26"/>
          <w:szCs w:val="26"/>
        </w:rPr>
        <w:t>. Требования к ИИК</w:t>
      </w:r>
      <w:bookmarkEnd w:id="56"/>
      <w:bookmarkEnd w:id="57"/>
      <w:bookmarkEnd w:id="58"/>
      <w:r>
        <w:rPr>
          <w:rStyle w:val="FootnoteReference"/>
          <w:rFonts w:ascii="Times New Roman" w:hAnsi="Times New Roman"/>
          <w:sz w:val="26"/>
          <w:szCs w:val="26"/>
        </w:rPr>
        <w:footnoteReference w:id="3"/>
      </w:r>
    </w:p>
    <w:p>
      <w:pPr>
        <w:pStyle w:val="19"/>
        <w:numPr>
          <w:ilvl w:val="0"/>
          <w:numId w:val="0"/>
        </w:numPr>
        <w:spacing w:before="0" w:after="0"/>
        <w:ind w:firstLine="709" w:left="0"/>
        <w:contextualSpacing/>
        <w:rPr>
          <w:sz w:val="26"/>
          <w:szCs w:val="26"/>
        </w:rPr>
      </w:pPr>
      <w:r>
        <w:rPr>
          <w:sz w:val="26"/>
          <w:szCs w:val="26"/>
        </w:rPr>
        <w:t xml:space="preserve">По способу установки прибора учета допускается монтаж в щит учета, или на </w:t>
      </w:r>
      <w:r>
        <w:rPr>
          <w:sz w:val="26"/>
          <w:szCs w:val="26"/>
        </w:rPr>
        <w:br w:type="textWrapping" w:clear="all"/>
      </w:r>
      <w:r>
        <w:rPr>
          <w:sz w:val="26"/>
          <w:szCs w:val="26"/>
        </w:rPr>
        <w:t xml:space="preserve">DIN-рейку, или на опору </w:t>
      </w:r>
      <w:r>
        <w:rPr>
          <w:sz w:val="26"/>
          <w:szCs w:val="26"/>
          <w:lang w:val="ru-RU"/>
        </w:rPr>
        <w:t>-</w:t>
      </w:r>
      <w:r>
        <w:rPr>
          <w:sz w:val="26"/>
          <w:szCs w:val="26"/>
        </w:rPr>
        <w:t xml:space="preserve"> в соответствии </w:t>
      </w:r>
      <w:r>
        <w:rPr>
          <w:sz w:val="26"/>
          <w:szCs w:val="26"/>
          <w:lang w:val="ru-RU"/>
        </w:rPr>
        <w:t xml:space="preserve">с </w:t>
      </w:r>
      <w:r>
        <w:rPr>
          <w:sz w:val="26"/>
          <w:szCs w:val="26"/>
        </w:rPr>
        <w:t xml:space="preserve">типовыми техническими решениями </w:t>
      </w:r>
      <w:r>
        <w:rPr>
          <w:sz w:val="26"/>
          <w:szCs w:val="26"/>
        </w:rPr>
        <w:br w:type="textWrapping" w:clear="all"/>
      </w:r>
      <w:r>
        <w:rPr>
          <w:sz w:val="26"/>
          <w:szCs w:val="26"/>
          <w:lang w:val="ru-RU"/>
        </w:rPr>
        <w:t>ПАО «Россети»</w:t>
      </w:r>
      <w:r>
        <w:rPr>
          <w:sz w:val="26"/>
          <w:szCs w:val="26"/>
        </w:rPr>
        <w:t xml:space="preserve"> и типовыми проектами </w:t>
      </w:r>
      <w:r>
        <w:rPr>
          <w:sz w:val="26"/>
          <w:szCs w:val="26"/>
          <w:lang w:val="ru-RU"/>
        </w:rPr>
        <w:t>АО «ЕЭСК»</w:t>
      </w:r>
      <w:r>
        <w:rPr>
          <w:sz w:val="26"/>
          <w:szCs w:val="26"/>
        </w:rPr>
        <w:t xml:space="preserve">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pPr>
        <w:pStyle w:val="Normal"/>
        <w:widowControl w:val="false"/>
        <w:spacing w:before="0" w:after="0"/>
        <w:ind w:firstLine="709"/>
        <w:contextualSpacing/>
        <w:jc w:val="both"/>
        <w:rPr>
          <w:sz w:val="26"/>
          <w:szCs w:val="26"/>
        </w:rPr>
      </w:pPr>
      <w:r>
        <w:rPr>
          <w:sz w:val="26"/>
          <w:szCs w:val="26"/>
        </w:rPr>
        <w:t>Комплект поставки прибора учета электроэнергии должен включать:</w:t>
      </w:r>
    </w:p>
    <w:p>
      <w:pPr>
        <w:pStyle w:val="ListParagraph11"/>
        <w:widowControl w:val="false"/>
        <w:numPr>
          <w:ilvl w:val="0"/>
          <w:numId w:val="27"/>
        </w:numPr>
        <w:tabs>
          <w:tab w:val="clear" w:pos="709"/>
          <w:tab w:val="left" w:pos="993" w:leader="none"/>
        </w:tabs>
        <w:ind w:firstLine="709" w:left="0"/>
        <w:jc w:val="both"/>
        <w:rPr>
          <w:sz w:val="26"/>
          <w:szCs w:val="26"/>
        </w:rPr>
      </w:pPr>
      <w:r>
        <w:rPr>
          <w:sz w:val="26"/>
          <w:szCs w:val="26"/>
        </w:rPr>
        <w:t>прибор учета электроэнергии;</w:t>
      </w:r>
    </w:p>
    <w:p>
      <w:pPr>
        <w:pStyle w:val="ListParagraph11"/>
        <w:widowControl w:val="false"/>
        <w:numPr>
          <w:ilvl w:val="0"/>
          <w:numId w:val="27"/>
        </w:numPr>
        <w:tabs>
          <w:tab w:val="clear" w:pos="709"/>
          <w:tab w:val="left" w:pos="993" w:leader="none"/>
        </w:tabs>
        <w:ind w:firstLine="709" w:left="0"/>
        <w:jc w:val="both"/>
        <w:rPr>
          <w:sz w:val="26"/>
          <w:szCs w:val="26"/>
        </w:rPr>
      </w:pPr>
      <w:r>
        <w:rPr>
          <w:sz w:val="26"/>
          <w:szCs w:val="26"/>
        </w:rPr>
        <w:t xml:space="preserve">удаленный (выносной) дисплей для приборов учета </w:t>
      </w:r>
      <w:r>
        <w:rPr>
          <w:sz w:val="26"/>
          <w:szCs w:val="26"/>
          <w:lang w:val="en-US"/>
        </w:rPr>
        <w:t>split</w:t>
      </w:r>
      <w:r>
        <w:rPr>
          <w:sz w:val="26"/>
          <w:szCs w:val="26"/>
          <w:lang w:val="ru-RU"/>
        </w:rPr>
        <w:t xml:space="preserve"> </w:t>
      </w:r>
      <w:r>
        <w:rPr>
          <w:sz w:val="26"/>
          <w:szCs w:val="26"/>
        </w:rPr>
        <w:t>– исполнения;</w:t>
      </w:r>
    </w:p>
    <w:p>
      <w:pPr>
        <w:pStyle w:val="ListParagraph11"/>
        <w:widowControl w:val="false"/>
        <w:numPr>
          <w:ilvl w:val="0"/>
          <w:numId w:val="27"/>
        </w:numPr>
        <w:tabs>
          <w:tab w:val="clear" w:pos="709"/>
          <w:tab w:val="left" w:pos="993" w:leader="none"/>
        </w:tabs>
        <w:ind w:firstLine="709" w:left="0"/>
        <w:jc w:val="both"/>
        <w:rPr>
          <w:sz w:val="26"/>
          <w:szCs w:val="26"/>
        </w:rPr>
      </w:pPr>
      <w:r>
        <w:rPr>
          <w:sz w:val="26"/>
          <w:szCs w:val="26"/>
        </w:rPr>
        <w:t>комплект эксплуатационной документации (руководство по эксплуатации, паспорт (паспорт-формуляр), оформленные по ГОСТ 2.601;</w:t>
      </w:r>
    </w:p>
    <w:p>
      <w:pPr>
        <w:pStyle w:val="ListParagraph11"/>
        <w:widowControl w:val="false"/>
        <w:numPr>
          <w:ilvl w:val="0"/>
          <w:numId w:val="27"/>
        </w:numPr>
        <w:tabs>
          <w:tab w:val="clear" w:pos="709"/>
          <w:tab w:val="left" w:pos="993" w:leader="none"/>
        </w:tabs>
        <w:ind w:firstLine="709" w:left="0"/>
        <w:jc w:val="both"/>
        <w:rPr>
          <w:sz w:val="26"/>
          <w:szCs w:val="26"/>
        </w:rPr>
      </w:pPr>
      <w:r>
        <w:rPr>
          <w:sz w:val="26"/>
          <w:szCs w:val="26"/>
        </w:rPr>
        <w:t>методику поверки на партию приборов учета (или в качестве подраздела в составе ЭД);</w:t>
      </w:r>
    </w:p>
    <w:p>
      <w:pPr>
        <w:pStyle w:val="ListParagraph11"/>
        <w:widowControl w:val="false"/>
        <w:numPr>
          <w:ilvl w:val="0"/>
          <w:numId w:val="27"/>
        </w:numPr>
        <w:tabs>
          <w:tab w:val="clear" w:pos="709"/>
          <w:tab w:val="left" w:pos="993" w:leader="none"/>
        </w:tabs>
        <w:ind w:firstLine="709" w:left="0"/>
        <w:jc w:val="both"/>
        <w:rPr>
          <w:sz w:val="26"/>
          <w:szCs w:val="26"/>
        </w:rPr>
      </w:pPr>
      <w:r>
        <w:rPr>
          <w:sz w:val="26"/>
          <w:szCs w:val="26"/>
        </w:rPr>
        <w:t xml:space="preserve">действующее свидетельство о поверке (или знак поверки в паспорте (паспорте-формуляре)); </w:t>
      </w:r>
    </w:p>
    <w:p>
      <w:pPr>
        <w:pStyle w:val="ListParagraph11"/>
        <w:widowControl w:val="false"/>
        <w:numPr>
          <w:ilvl w:val="0"/>
          <w:numId w:val="27"/>
        </w:numPr>
        <w:tabs>
          <w:tab w:val="clear" w:pos="709"/>
          <w:tab w:val="left" w:pos="993" w:leader="none"/>
        </w:tabs>
        <w:ind w:firstLine="709" w:left="0"/>
        <w:jc w:val="both"/>
        <w:rPr>
          <w:sz w:val="26"/>
          <w:szCs w:val="26"/>
        </w:rPr>
      </w:pPr>
      <w:r>
        <w:rPr>
          <w:sz w:val="26"/>
          <w:szCs w:val="26"/>
        </w:rPr>
        <w:t>сервисное ПО (версия ПО согласно описанию типа на прибор учета),</w:t>
      </w:r>
    </w:p>
    <w:p>
      <w:pPr>
        <w:pStyle w:val="19"/>
        <w:widowControl w:val="false"/>
        <w:numPr>
          <w:ilvl w:val="0"/>
          <w:numId w:val="27"/>
        </w:numPr>
        <w:tabs>
          <w:tab w:val="clear" w:pos="709"/>
          <w:tab w:val="left" w:pos="993" w:leader="none"/>
        </w:tabs>
        <w:spacing w:before="0" w:after="0"/>
        <w:ind w:firstLine="709" w:left="0"/>
        <w:contextualSpacing/>
        <w:rPr>
          <w:sz w:val="26"/>
          <w:szCs w:val="26"/>
        </w:rPr>
      </w:pPr>
      <w:r>
        <w:rPr>
          <w:sz w:val="26"/>
          <w:szCs w:val="26"/>
        </w:rPr>
        <w:t>транспортная тара.</w:t>
      </w:r>
    </w:p>
    <w:p>
      <w:pPr>
        <w:pStyle w:val="19"/>
        <w:numPr>
          <w:ilvl w:val="0"/>
          <w:numId w:val="0"/>
        </w:numPr>
        <w:spacing w:before="0" w:after="0"/>
        <w:ind w:firstLine="709" w:left="0"/>
        <w:contextualSpacing/>
        <w:rPr>
          <w:sz w:val="26"/>
          <w:szCs w:val="26"/>
          <w:lang w:val="ru-RU"/>
        </w:rPr>
      </w:pPr>
      <w:r>
        <w:rPr>
          <w:sz w:val="26"/>
          <w:szCs w:val="26"/>
          <w:lang w:val="ru-RU"/>
        </w:rPr>
        <w:t>Для определения требований к приборам учета электроэнергии руководствоваться СТО 34.01-5.1-009-2024 «Приборы учета электроэнергии. Общие технические требования» (за исключением требований к заводу-изготовителю и сервисным центрам) ,</w:t>
      </w:r>
      <w:r>
        <w:rPr/>
        <w:t xml:space="preserve"> </w:t>
      </w:r>
      <w:r>
        <w:rPr>
          <w:sz w:val="26"/>
          <w:szCs w:val="26"/>
          <w:lang w:val="ru-RU"/>
        </w:rPr>
        <w:t>для определения требований к ПКУ 6(10) кВ руководствоваться СТО 34.01-5.1-008-2018 «Пункты коммерческого учета электроэнергии уровнем напряжения 6-20 кВ. Общие технические требования» (характеристики приборов учета, входящих в состав ПКУ, должны соответствовать СТО 34.01-5.1-009-2024).</w:t>
      </w:r>
    </w:p>
    <w:p>
      <w:pPr>
        <w:pStyle w:val="19"/>
        <w:numPr>
          <w:ilvl w:val="0"/>
          <w:numId w:val="0"/>
        </w:numPr>
        <w:spacing w:before="0" w:after="0"/>
        <w:ind w:firstLine="709" w:left="0"/>
        <w:contextualSpacing/>
        <w:rPr>
          <w:sz w:val="26"/>
          <w:szCs w:val="26"/>
          <w:lang w:val="ru-RU"/>
        </w:rPr>
      </w:pPr>
      <w:r>
        <w:rPr>
          <w:sz w:val="26"/>
          <w:szCs w:val="26"/>
          <w:lang w:val="ru-RU"/>
        </w:rPr>
        <w:t>П</w:t>
      </w:r>
      <w:r>
        <w:rPr>
          <w:sz w:val="26"/>
          <w:szCs w:val="26"/>
        </w:rPr>
        <w:t>ри организации учета электроэнергии на ПС/ТП/РУ/КТП обязательно наличие встроенного цифрового дисплея отображения информации</w:t>
      </w:r>
      <w:r>
        <w:rPr>
          <w:sz w:val="26"/>
          <w:szCs w:val="26"/>
          <w:lang w:val="ru-RU"/>
        </w:rPr>
        <w:t>.</w:t>
      </w:r>
    </w:p>
    <w:p>
      <w:pPr>
        <w:pStyle w:val="19"/>
        <w:numPr>
          <w:ilvl w:val="0"/>
          <w:numId w:val="0"/>
        </w:numPr>
        <w:spacing w:before="0" w:after="0"/>
        <w:ind w:firstLine="709" w:left="0"/>
        <w:contextualSpacing/>
        <w:rPr>
          <w:sz w:val="26"/>
          <w:szCs w:val="26"/>
          <w:lang w:val="ru-RU"/>
        </w:rPr>
      </w:pPr>
      <w:r>
        <w:rPr>
          <w:sz w:val="26"/>
          <w:szCs w:val="26"/>
          <w:lang w:val="ru-RU"/>
        </w:rPr>
        <w:t xml:space="preserve">На видном месте корпуса элементов оборудования системы учета электроэнергии (приборы учета электроэнергии, удаленные дисплеи, внутренние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w:t>
      </w:r>
      <w:r>
        <w:rPr>
          <w:rFonts w:ascii="Arial Narrow" w:hAnsi="Arial Narrow"/>
          <w:sz w:val="26"/>
          <w:szCs w:val="26"/>
          <w:lang w:val="ru-RU"/>
        </w:rPr>
        <w:t>°</w:t>
      </w:r>
      <w:r>
        <w:rPr>
          <w:sz w:val="26"/>
          <w:szCs w:val="26"/>
          <w:lang w:val="ru-RU"/>
        </w:rPr>
        <w:t xml:space="preserve">С и температурой эксплуатации от -40 до +70 </w:t>
      </w:r>
      <w:r>
        <w:rPr>
          <w:rFonts w:ascii="Arial Narrow" w:hAnsi="Arial Narrow"/>
          <w:sz w:val="26"/>
          <w:szCs w:val="26"/>
          <w:lang w:val="ru-RU"/>
        </w:rPr>
        <w:t>°</w:t>
      </w:r>
      <w:r>
        <w:rPr>
          <w:sz w:val="26"/>
          <w:szCs w:val="26"/>
          <w:lang w:val="ru-RU"/>
        </w:rPr>
        <w:t>С) наклейки с логотипом «Россети Урал Екатеринбург» и нанесенной шрифтом Arial (размером не менее 10 мм) следующей информацией:</w:t>
      </w:r>
    </w:p>
    <w:p>
      <w:pPr>
        <w:pStyle w:val="19"/>
        <w:numPr>
          <w:ilvl w:val="0"/>
          <w:numId w:val="0"/>
        </w:numPr>
        <w:spacing w:before="0" w:after="0"/>
        <w:ind w:firstLine="709" w:left="0"/>
        <w:contextualSpacing/>
        <w:rPr>
          <w:sz w:val="26"/>
          <w:szCs w:val="26"/>
          <w:lang w:val="ru-RU"/>
        </w:rPr>
      </w:pPr>
      <w:r>
        <w:rPr>
          <w:sz w:val="26"/>
          <w:szCs w:val="26"/>
          <w:lang w:val="ru-RU"/>
        </w:rPr>
        <w:t>- телефон Единого контакт-центра: 8-800-220-0-220.</w:t>
      </w:r>
    </w:p>
    <w:p>
      <w:pPr>
        <w:pStyle w:val="19"/>
        <w:numPr>
          <w:ilvl w:val="0"/>
          <w:numId w:val="0"/>
        </w:numPr>
        <w:spacing w:before="0" w:after="0"/>
        <w:ind w:firstLine="709" w:left="0"/>
        <w:contextualSpacing/>
        <w:rPr>
          <w:sz w:val="26"/>
          <w:szCs w:val="26"/>
          <w:lang w:val="ru-RU"/>
        </w:rPr>
      </w:pPr>
      <w:r>
        <w:rPr>
          <w:sz w:val="26"/>
          <w:szCs w:val="26"/>
          <w:lang w:val="ru-RU"/>
        </w:rPr>
        <w:t xml:space="preserve">На приборах учета </w:t>
      </w:r>
      <w:r>
        <w:rPr>
          <w:sz w:val="26"/>
          <w:szCs w:val="26"/>
          <w:lang w:val="en-US"/>
        </w:rPr>
        <w:t>split</w:t>
      </w:r>
      <w:r>
        <w:rPr>
          <w:sz w:val="26"/>
          <w:szCs w:val="26"/>
          <w:lang w:val="ru-RU"/>
        </w:rPr>
        <w:t xml:space="preserve"> </w:t>
      </w:r>
      <w:r>
        <w:rPr>
          <w:sz w:val="26"/>
          <w:szCs w:val="26"/>
        </w:rPr>
        <w:t>– исполнения</w:t>
      </w:r>
      <w:r>
        <w:rPr>
          <w:sz w:val="26"/>
          <w:szCs w:val="26"/>
          <w:lang w:val="ru-RU"/>
        </w:rPr>
        <w:t xml:space="preserve"> заводской номер должен быть нанесен на корпус способом и с размером шрифта, позволяющим его распознать с земли, без использования средств подъема на высоту.</w:t>
      </w:r>
    </w:p>
    <w:p>
      <w:pPr>
        <w:pStyle w:val="19"/>
        <w:numPr>
          <w:ilvl w:val="0"/>
          <w:numId w:val="0"/>
        </w:numPr>
        <w:ind w:hanging="0" w:left="0"/>
        <w:rPr>
          <w:sz w:val="26"/>
          <w:szCs w:val="26"/>
          <w:lang w:val="ru-RU"/>
        </w:rPr>
      </w:pPr>
      <w:r>
        <w:rPr>
          <w:sz w:val="26"/>
          <w:szCs w:val="26"/>
          <w:lang w:val="ru-RU"/>
        </w:rPr>
        <w:tab/>
        <w:t>В приборах учета потребителей должно быть предустановлено следующее тарифное расписание:</w:t>
      </w:r>
    </w:p>
    <w:p>
      <w:pPr>
        <w:pStyle w:val="19"/>
        <w:numPr>
          <w:ilvl w:val="0"/>
          <w:numId w:val="0"/>
        </w:numPr>
        <w:ind w:hanging="0" w:left="0"/>
        <w:rPr>
          <w:sz w:val="26"/>
          <w:szCs w:val="26"/>
          <w:lang w:val="ru-RU"/>
        </w:rPr>
      </w:pPr>
      <w:r>
        <w:rPr>
          <w:sz w:val="26"/>
          <w:szCs w:val="26"/>
          <w:lang w:val="ru-RU"/>
        </w:rPr>
        <w:t xml:space="preserve">- тариф 1: 07:00 до 23:00; </w:t>
      </w:r>
    </w:p>
    <w:p>
      <w:pPr>
        <w:pStyle w:val="19"/>
        <w:numPr>
          <w:ilvl w:val="0"/>
          <w:numId w:val="0"/>
        </w:numPr>
        <w:spacing w:before="0" w:after="0"/>
        <w:ind w:hanging="0" w:left="0"/>
        <w:contextualSpacing/>
        <w:rPr>
          <w:sz w:val="26"/>
          <w:szCs w:val="26"/>
          <w:lang w:val="ru-RU"/>
        </w:rPr>
      </w:pPr>
      <w:r>
        <w:rPr>
          <w:sz w:val="26"/>
          <w:szCs w:val="26"/>
          <w:lang w:val="ru-RU"/>
        </w:rPr>
        <w:t>- тариф 2: 23:00 до 07:00;</w:t>
      </w:r>
    </w:p>
    <w:p>
      <w:pPr>
        <w:pStyle w:val="19"/>
        <w:numPr>
          <w:ilvl w:val="0"/>
          <w:numId w:val="0"/>
        </w:numPr>
        <w:spacing w:before="0" w:after="0"/>
        <w:ind w:hanging="0" w:left="0"/>
        <w:contextualSpacing/>
        <w:rPr>
          <w:sz w:val="26"/>
          <w:szCs w:val="26"/>
          <w:lang w:val="ru-RU"/>
        </w:rPr>
      </w:pPr>
      <w:r>
        <w:rPr>
          <w:sz w:val="26"/>
          <w:szCs w:val="26"/>
          <w:lang w:val="ru-RU"/>
        </w:rPr>
        <w:tab/>
        <w:t>В соответствии с требованиями п. 29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 июня 2020 г. № 890, должно соблюдаться требование об обязательном наличии физической (аппаратной) блокировки срабатывания встроенного коммутационного аппарата для приборов учета непосредственного (прямого) включения (с возможностью опломбирования). Также допускается вариант исполнения прибора учета со съемными реле нагрузки, которые при необходимости извлекаются из прибора учета с обеспечением шунтирования (замена на блок с перемычками) силовых контактов прибора учета (с возможностью опломбирования) и фиксацией данного факта в журнале событий прибора учета.</w:t>
      </w:r>
    </w:p>
    <w:p>
      <w:pPr>
        <w:pStyle w:val="19"/>
        <w:numPr>
          <w:ilvl w:val="0"/>
          <w:numId w:val="0"/>
        </w:numPr>
        <w:spacing w:before="0" w:after="0"/>
        <w:ind w:hanging="0" w:left="0"/>
        <w:contextualSpacing/>
        <w:rPr>
          <w:sz w:val="26"/>
          <w:szCs w:val="26"/>
          <w:lang w:val="ru-RU"/>
        </w:rPr>
      </w:pPr>
      <w:r>
        <w:rPr>
          <w:sz w:val="26"/>
          <w:szCs w:val="26"/>
          <w:lang w:val="ru-RU"/>
        </w:rPr>
      </w:r>
    </w:p>
    <w:p>
      <w:pPr>
        <w:pStyle w:val="ListParagraph11"/>
        <w:keepNext w:val="true"/>
        <w:numPr>
          <w:ilvl w:val="0"/>
          <w:numId w:val="5"/>
        </w:numPr>
        <w:spacing w:before="0" w:after="0"/>
        <w:ind w:hanging="360" w:left="0"/>
        <w:contextualSpacing w:val="false"/>
        <w:outlineLvl w:val="0"/>
        <w:rPr>
          <w:rFonts w:cs="Arial"/>
          <w:b/>
          <w:bCs/>
          <w:vanish/>
          <w:sz w:val="26"/>
          <w:szCs w:val="26"/>
          <w:lang w:val="en-US" w:eastAsia="en-US" w:bidi="en-US"/>
        </w:rPr>
      </w:pPr>
      <w:r>
        <w:rPr>
          <w:rFonts w:cs="Arial"/>
          <w:b/>
          <w:bCs/>
          <w:vanish/>
          <w:sz w:val="26"/>
          <w:szCs w:val="26"/>
          <w:lang w:val="en-US" w:eastAsia="en-US" w:bidi="en-US"/>
        </w:rPr>
      </w:r>
      <w:bookmarkStart w:id="59" w:name="_Toc3204133"/>
      <w:bookmarkStart w:id="60" w:name="_Toc3204317"/>
      <w:bookmarkStart w:id="61" w:name="_Toc3204448"/>
      <w:bookmarkStart w:id="62" w:name="_Toc3205057"/>
      <w:bookmarkStart w:id="63" w:name="_Toc22938000"/>
      <w:bookmarkStart w:id="64" w:name="_Toc32489358"/>
      <w:bookmarkStart w:id="65" w:name="_Toc32496725"/>
      <w:bookmarkStart w:id="66" w:name="_Toc3204133"/>
      <w:bookmarkStart w:id="67" w:name="_Toc3204317"/>
      <w:bookmarkStart w:id="68" w:name="_Toc3204448"/>
      <w:bookmarkStart w:id="69" w:name="_Toc3205057"/>
      <w:bookmarkStart w:id="70" w:name="_Toc22938000"/>
      <w:bookmarkStart w:id="71" w:name="_Toc32489358"/>
      <w:bookmarkStart w:id="72" w:name="_Toc32496725"/>
      <w:bookmarkEnd w:id="66"/>
      <w:bookmarkEnd w:id="67"/>
      <w:bookmarkEnd w:id="68"/>
      <w:bookmarkEnd w:id="69"/>
      <w:bookmarkEnd w:id="70"/>
      <w:bookmarkEnd w:id="71"/>
      <w:bookmarkEnd w:id="72"/>
    </w:p>
    <w:p>
      <w:pPr>
        <w:pStyle w:val="ListParagraph11"/>
        <w:keepNext w:val="true"/>
        <w:numPr>
          <w:ilvl w:val="0"/>
          <w:numId w:val="5"/>
        </w:numPr>
        <w:spacing w:before="0" w:after="0"/>
        <w:ind w:hanging="360" w:left="0"/>
        <w:contextualSpacing w:val="false"/>
        <w:outlineLvl w:val="0"/>
        <w:rPr>
          <w:rFonts w:cs="Arial"/>
          <w:b/>
          <w:bCs/>
          <w:vanish/>
          <w:sz w:val="26"/>
          <w:szCs w:val="26"/>
          <w:lang w:val="en-US" w:eastAsia="en-US" w:bidi="en-US"/>
        </w:rPr>
      </w:pPr>
      <w:r>
        <w:rPr>
          <w:rFonts w:cs="Arial"/>
          <w:b/>
          <w:bCs/>
          <w:vanish/>
          <w:sz w:val="26"/>
          <w:szCs w:val="26"/>
          <w:lang w:val="en-US" w:eastAsia="en-US" w:bidi="en-US"/>
        </w:rPr>
      </w:r>
      <w:bookmarkStart w:id="73" w:name="_Toc22938001"/>
      <w:bookmarkStart w:id="74" w:name="_Toc32489359"/>
      <w:bookmarkStart w:id="75" w:name="_Toc32496726"/>
      <w:bookmarkStart w:id="76" w:name="_Toc22938001"/>
      <w:bookmarkStart w:id="77" w:name="_Toc32489359"/>
      <w:bookmarkStart w:id="78" w:name="_Toc32496726"/>
      <w:bookmarkEnd w:id="76"/>
      <w:bookmarkEnd w:id="77"/>
      <w:bookmarkEnd w:id="78"/>
    </w:p>
    <w:p>
      <w:pPr>
        <w:pStyle w:val="ListParagraph11"/>
        <w:keepNext w:val="true"/>
        <w:numPr>
          <w:ilvl w:val="0"/>
          <w:numId w:val="5"/>
        </w:numPr>
        <w:spacing w:before="0" w:after="0"/>
        <w:ind w:hanging="360" w:left="0"/>
        <w:contextualSpacing w:val="false"/>
        <w:outlineLvl w:val="0"/>
        <w:rPr>
          <w:rFonts w:cs="Arial"/>
          <w:b/>
          <w:bCs/>
          <w:vanish/>
          <w:sz w:val="26"/>
          <w:szCs w:val="26"/>
          <w:lang w:val="en-US" w:eastAsia="en-US" w:bidi="en-US"/>
        </w:rPr>
      </w:pPr>
      <w:r>
        <w:rPr>
          <w:rFonts w:cs="Arial"/>
          <w:b/>
          <w:bCs/>
          <w:vanish/>
          <w:sz w:val="26"/>
          <w:szCs w:val="26"/>
          <w:lang w:val="en-US" w:eastAsia="en-US" w:bidi="en-US"/>
        </w:rPr>
      </w:r>
      <w:bookmarkStart w:id="79" w:name="_Toc22938002"/>
      <w:bookmarkStart w:id="80" w:name="_Toc32489360"/>
      <w:bookmarkStart w:id="81" w:name="_Toc32496727"/>
      <w:bookmarkStart w:id="82" w:name="_Toc22938002"/>
      <w:bookmarkStart w:id="83" w:name="_Toc32489360"/>
      <w:bookmarkStart w:id="84" w:name="_Toc32496727"/>
      <w:bookmarkEnd w:id="82"/>
      <w:bookmarkEnd w:id="83"/>
      <w:bookmarkEnd w:id="84"/>
    </w:p>
    <w:p>
      <w:pPr>
        <w:pStyle w:val="ListParagraph11"/>
        <w:keepNext w:val="true"/>
        <w:numPr>
          <w:ilvl w:val="0"/>
          <w:numId w:val="5"/>
        </w:numPr>
        <w:spacing w:before="0" w:after="0"/>
        <w:ind w:hanging="360" w:left="0"/>
        <w:contextualSpacing w:val="false"/>
        <w:outlineLvl w:val="0"/>
        <w:rPr>
          <w:rFonts w:cs="Arial"/>
          <w:b/>
          <w:bCs/>
          <w:vanish/>
          <w:sz w:val="26"/>
          <w:szCs w:val="26"/>
          <w:lang w:val="en-US" w:eastAsia="en-US" w:bidi="en-US"/>
        </w:rPr>
      </w:pPr>
      <w:r>
        <w:rPr>
          <w:rFonts w:cs="Arial"/>
          <w:b/>
          <w:bCs/>
          <w:vanish/>
          <w:sz w:val="26"/>
          <w:szCs w:val="26"/>
          <w:lang w:val="en-US" w:eastAsia="en-US" w:bidi="en-US"/>
        </w:rPr>
      </w:r>
      <w:bookmarkStart w:id="85" w:name="_Toc22938003"/>
      <w:bookmarkStart w:id="86" w:name="_Toc32489361"/>
      <w:bookmarkStart w:id="87" w:name="_Toc32496728"/>
      <w:bookmarkStart w:id="88" w:name="_Toc22938003"/>
      <w:bookmarkStart w:id="89" w:name="_Toc32489361"/>
      <w:bookmarkStart w:id="90" w:name="_Toc32496728"/>
      <w:bookmarkEnd w:id="88"/>
      <w:bookmarkEnd w:id="89"/>
      <w:bookmarkEnd w:id="90"/>
    </w:p>
    <w:p>
      <w:pPr>
        <w:pStyle w:val="ListParagraph11"/>
        <w:keepNext w:val="true"/>
        <w:numPr>
          <w:ilvl w:val="1"/>
          <w:numId w:val="5"/>
        </w:numPr>
        <w:spacing w:before="0" w:after="0"/>
        <w:ind w:hanging="432" w:left="0"/>
        <w:contextualSpacing w:val="false"/>
        <w:outlineLvl w:val="1"/>
        <w:rPr>
          <w:b/>
          <w:bCs/>
          <w:i/>
          <w:i/>
          <w:iCs/>
          <w:vanish/>
          <w:sz w:val="26"/>
          <w:szCs w:val="26"/>
          <w:lang w:val="en-US" w:eastAsia="en-US" w:bidi="en-US"/>
        </w:rPr>
      </w:pPr>
      <w:r>
        <w:rPr>
          <w:b/>
          <w:bCs/>
          <w:i/>
          <w:iCs/>
          <w:vanish/>
          <w:sz w:val="26"/>
          <w:szCs w:val="26"/>
          <w:lang w:val="en-US" w:eastAsia="en-US" w:bidi="en-US"/>
        </w:rPr>
      </w:r>
      <w:bookmarkStart w:id="91" w:name="_Toc22938004"/>
      <w:bookmarkStart w:id="92" w:name="_Toc32489362"/>
      <w:bookmarkStart w:id="93" w:name="_Toc32496729"/>
      <w:bookmarkStart w:id="94" w:name="_Toc22938004"/>
      <w:bookmarkStart w:id="95" w:name="_Toc32489362"/>
      <w:bookmarkStart w:id="96" w:name="_Toc32496729"/>
      <w:bookmarkEnd w:id="94"/>
      <w:bookmarkEnd w:id="95"/>
      <w:bookmarkEnd w:id="96"/>
    </w:p>
    <w:p>
      <w:pPr>
        <w:pStyle w:val="ListParagraph11"/>
        <w:keepNext w:val="true"/>
        <w:numPr>
          <w:ilvl w:val="1"/>
          <w:numId w:val="5"/>
        </w:numPr>
        <w:spacing w:before="0" w:after="0"/>
        <w:ind w:hanging="432" w:left="0"/>
        <w:contextualSpacing w:val="false"/>
        <w:outlineLvl w:val="1"/>
        <w:rPr>
          <w:b/>
          <w:bCs/>
          <w:i/>
          <w:i/>
          <w:iCs/>
          <w:vanish/>
          <w:sz w:val="26"/>
          <w:szCs w:val="26"/>
          <w:lang w:val="en-US" w:eastAsia="en-US" w:bidi="en-US"/>
        </w:rPr>
      </w:pPr>
      <w:r>
        <w:rPr>
          <w:b/>
          <w:bCs/>
          <w:i/>
          <w:iCs/>
          <w:vanish/>
          <w:sz w:val="26"/>
          <w:szCs w:val="26"/>
          <w:lang w:val="en-US" w:eastAsia="en-US" w:bidi="en-US"/>
        </w:rPr>
      </w:r>
      <w:bookmarkStart w:id="97" w:name="_Toc22938005"/>
      <w:bookmarkStart w:id="98" w:name="_Toc32489363"/>
      <w:bookmarkStart w:id="99" w:name="_Toc32496730"/>
      <w:bookmarkStart w:id="100" w:name="_Toc22938005"/>
      <w:bookmarkStart w:id="101" w:name="_Toc32489363"/>
      <w:bookmarkStart w:id="102" w:name="_Toc32496730"/>
      <w:bookmarkEnd w:id="100"/>
      <w:bookmarkEnd w:id="101"/>
      <w:bookmarkEnd w:id="102"/>
    </w:p>
    <w:p>
      <w:pPr>
        <w:pStyle w:val="36"/>
        <w:numPr>
          <w:ilvl w:val="2"/>
          <w:numId w:val="5"/>
        </w:numPr>
        <w:spacing w:before="0" w:after="0"/>
        <w:ind w:firstLine="709" w:left="0"/>
        <w:rPr>
          <w:sz w:val="26"/>
          <w:szCs w:val="26"/>
        </w:rPr>
      </w:pPr>
      <w:bookmarkStart w:id="103" w:name="_Toc22938006"/>
      <w:bookmarkStart w:id="104" w:name="_Toc32489364"/>
      <w:bookmarkStart w:id="105" w:name="_Toc32496731"/>
      <w:r>
        <w:rPr>
          <w:sz w:val="26"/>
          <w:szCs w:val="26"/>
        </w:rPr>
        <w:t xml:space="preserve">Требования к вторичным </w:t>
      </w:r>
      <w:r>
        <w:rPr>
          <w:sz w:val="26"/>
          <w:szCs w:val="26"/>
          <w:lang w:val="ru-RU"/>
        </w:rPr>
        <w:t xml:space="preserve">измерительным </w:t>
      </w:r>
      <w:r>
        <w:rPr>
          <w:sz w:val="26"/>
          <w:szCs w:val="26"/>
        </w:rPr>
        <w:t>цепям</w:t>
      </w:r>
      <w:bookmarkEnd w:id="103"/>
      <w:bookmarkEnd w:id="104"/>
      <w:bookmarkEnd w:id="105"/>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и ТН соответствующих классов точности измерительных кернов.</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Применение промежуточных трансформаторов тока не допускается.</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Вторичные измерительные цепи должны быть защищены от несанкционированного доступа.</w:t>
      </w:r>
    </w:p>
    <w:p>
      <w:pPr>
        <w:pStyle w:val="Normal"/>
        <w:widowControl w:val="false"/>
        <w:tabs>
          <w:tab w:val="clear" w:pos="709"/>
          <w:tab w:val="left" w:pos="426" w:leader="none"/>
          <w:tab w:val="left" w:pos="1134" w:leader="none"/>
        </w:tabs>
        <w:spacing w:before="0" w:after="0"/>
        <w:ind w:firstLine="709"/>
        <w:contextualSpacing/>
        <w:jc w:val="both"/>
        <w:rPr>
          <w:sz w:val="26"/>
          <w:szCs w:val="26"/>
        </w:rPr>
      </w:pPr>
      <w:r>
        <w:rPr>
          <w:sz w:val="26"/>
          <w:szCs w:val="26"/>
        </w:rPr>
        <w:t xml:space="preserve">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w:t>
        <w:br/>
        <w:t>1,5 кв. мм для меди. 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pPr>
        <w:pStyle w:val="Normal"/>
        <w:tabs>
          <w:tab w:val="left" w:pos="709" w:leader="none"/>
          <w:tab w:val="left" w:pos="1134" w:leader="none"/>
        </w:tabs>
        <w:spacing w:before="0" w:after="0"/>
        <w:contextualSpacing/>
        <w:jc w:val="both"/>
        <w:rPr>
          <w:sz w:val="26"/>
          <w:szCs w:val="26"/>
        </w:rPr>
      </w:pPr>
      <w:r>
        <w:rPr>
          <w:sz w:val="26"/>
          <w:szCs w:val="26"/>
        </w:rPr>
        <w:tab/>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Встроенные ТТ и ТН должны иметь возможность проведения периодической метрологической поверки.</w:t>
      </w:r>
    </w:p>
    <w:p>
      <w:pPr>
        <w:pStyle w:val="Normal"/>
        <w:tabs>
          <w:tab w:val="left" w:pos="709" w:leader="none"/>
        </w:tabs>
        <w:spacing w:before="0" w:after="0"/>
        <w:contextualSpacing/>
        <w:jc w:val="both"/>
        <w:rPr>
          <w:sz w:val="26"/>
          <w:szCs w:val="26"/>
        </w:rPr>
      </w:pPr>
      <w:r>
        <w:rPr>
          <w:sz w:val="26"/>
          <w:szCs w:val="26"/>
          <w:lang w:eastAsia="en-US"/>
        </w:rPr>
        <w:tab/>
        <w:t>Д</w:t>
      </w:r>
      <w:r>
        <w:rPr>
          <w:sz w:val="26"/>
          <w:szCs w:val="26"/>
          <w:lang w:val="en-US" w:eastAsia="en-US"/>
        </w:rPr>
        <w:t>опускается</w:t>
      </w:r>
      <w:r>
        <w:rPr>
          <w:sz w:val="26"/>
          <w:szCs w:val="26"/>
        </w:rPr>
        <w:t xml:space="preserve"> совместное использование цифровых выходов ТТ и ТН,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pPr>
        <w:pStyle w:val="36"/>
        <w:numPr>
          <w:ilvl w:val="2"/>
          <w:numId w:val="5"/>
        </w:numPr>
        <w:tabs>
          <w:tab w:val="clear" w:pos="709"/>
          <w:tab w:val="left" w:pos="1276" w:leader="none"/>
        </w:tabs>
        <w:spacing w:before="0" w:after="0"/>
        <w:ind w:firstLine="709" w:left="0"/>
        <w:rPr>
          <w:sz w:val="26"/>
          <w:szCs w:val="26"/>
        </w:rPr>
      </w:pPr>
      <w:bookmarkStart w:id="106" w:name="_Toc22938007"/>
      <w:bookmarkStart w:id="107" w:name="_Toc32489365"/>
      <w:bookmarkStart w:id="108" w:name="_Toc32496732"/>
      <w:r>
        <w:rPr>
          <w:sz w:val="26"/>
          <w:szCs w:val="26"/>
        </w:rPr>
        <w:t>Требования к трансформаторам тока</w:t>
      </w:r>
      <w:bookmarkEnd w:id="106"/>
      <w:bookmarkEnd w:id="107"/>
      <w:bookmarkEnd w:id="108"/>
    </w:p>
    <w:p>
      <w:pPr>
        <w:pStyle w:val="Normal"/>
        <w:tabs>
          <w:tab w:val="left" w:pos="709" w:leader="none"/>
        </w:tabs>
        <w:jc w:val="both"/>
        <w:rPr>
          <w:sz w:val="26"/>
          <w:szCs w:val="26"/>
          <w:lang w:eastAsia="en-US" w:bidi="en-US"/>
        </w:rPr>
      </w:pPr>
      <w:r>
        <w:rPr>
          <w:sz w:val="26"/>
          <w:szCs w:val="26"/>
          <w:lang w:eastAsia="en-US"/>
        </w:rPr>
        <w:tab/>
      </w:r>
      <w:r>
        <w:rPr>
          <w:sz w:val="26"/>
          <w:szCs w:val="26"/>
          <w:lang w:val="en-US" w:eastAsia="en-US"/>
        </w:rPr>
        <w:t xml:space="preserve">Трансформаторы тока по техническим характеристикам должны соответствовать </w:t>
      </w:r>
      <w:r>
        <w:rPr>
          <w:sz w:val="26"/>
          <w:szCs w:val="26"/>
          <w:lang w:eastAsia="en-US"/>
        </w:rPr>
        <w:t xml:space="preserve">требованиям </w:t>
      </w:r>
      <w:r>
        <w:rPr>
          <w:sz w:val="26"/>
          <w:szCs w:val="26"/>
          <w:lang w:val="en-US" w:eastAsia="en-US"/>
        </w:rPr>
        <w:t>ГОСТ 7746-</w:t>
      </w:r>
      <w:r>
        <w:rPr>
          <w:sz w:val="26"/>
          <w:szCs w:val="26"/>
          <w:lang w:eastAsia="en-US"/>
        </w:rPr>
        <w:t>2015</w:t>
      </w:r>
      <w:r>
        <w:rPr>
          <w:sz w:val="26"/>
          <w:szCs w:val="26"/>
          <w:lang w:val="en-US" w:eastAsia="en-US"/>
        </w:rPr>
        <w:t xml:space="preserve">. </w:t>
      </w:r>
    </w:p>
    <w:p>
      <w:pPr>
        <w:pStyle w:val="Normal"/>
        <w:tabs>
          <w:tab w:val="left" w:pos="709" w:leader="none"/>
        </w:tabs>
        <w:ind w:firstLine="709"/>
        <w:jc w:val="both"/>
        <w:rPr>
          <w:sz w:val="26"/>
          <w:szCs w:val="26"/>
          <w:lang w:eastAsia="en-US"/>
        </w:rPr>
      </w:pPr>
      <w:r>
        <w:rPr>
          <w:sz w:val="26"/>
          <w:szCs w:val="26"/>
          <w:lang w:eastAsia="en-US"/>
        </w:rPr>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pPr>
        <w:pStyle w:val="Normal"/>
        <w:tabs>
          <w:tab w:val="left" w:pos="709" w:leader="none"/>
        </w:tabs>
        <w:ind w:firstLine="709"/>
        <w:jc w:val="both"/>
        <w:rPr>
          <w:sz w:val="26"/>
          <w:szCs w:val="26"/>
          <w:lang w:eastAsia="en-US"/>
        </w:rPr>
      </w:pPr>
      <w:r>
        <w:rPr>
          <w:sz w:val="26"/>
          <w:szCs w:val="26"/>
          <w:lang w:eastAsia="en-US"/>
        </w:rPr>
        <w:t>Тип, коэффициенты трансформации определяются в ПД.</w:t>
      </w:r>
    </w:p>
    <w:p>
      <w:pPr>
        <w:pStyle w:val="Normal"/>
        <w:tabs>
          <w:tab w:val="left" w:pos="709" w:leader="none"/>
        </w:tabs>
        <w:ind w:firstLine="709"/>
        <w:jc w:val="both"/>
        <w:rPr>
          <w:sz w:val="26"/>
          <w:szCs w:val="26"/>
          <w:lang w:eastAsia="en-US"/>
        </w:rPr>
      </w:pPr>
      <w:r>
        <w:rPr>
          <w:sz w:val="26"/>
          <w:szCs w:val="26"/>
          <w:lang w:eastAsia="en-US"/>
        </w:rPr>
        <w:t xml:space="preserve">Межповерочный интервал трансформаторов тока должен составлять не менее 8 лет. </w:t>
      </w:r>
    </w:p>
    <w:p>
      <w:pPr>
        <w:pStyle w:val="Normal"/>
        <w:tabs>
          <w:tab w:val="left" w:pos="709" w:leader="none"/>
        </w:tabs>
        <w:ind w:firstLine="709"/>
        <w:jc w:val="both"/>
        <w:rPr>
          <w:sz w:val="26"/>
          <w:szCs w:val="26"/>
          <w:lang w:eastAsia="en-US"/>
        </w:rPr>
      </w:pPr>
      <w:r>
        <w:rPr>
          <w:sz w:val="26"/>
          <w:szCs w:val="26"/>
          <w:lang w:eastAsia="en-US"/>
        </w:rP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pPr>
        <w:pStyle w:val="Normal"/>
        <w:tabs>
          <w:tab w:val="left" w:pos="709" w:leader="none"/>
        </w:tabs>
        <w:ind w:firstLine="709"/>
        <w:jc w:val="both"/>
        <w:rPr>
          <w:sz w:val="26"/>
          <w:szCs w:val="26"/>
          <w:lang w:eastAsia="en-US"/>
        </w:rPr>
      </w:pPr>
      <w:r>
        <w:rPr>
          <w:sz w:val="26"/>
          <w:szCs w:val="26"/>
          <w:lang w:eastAsia="en-US"/>
        </w:rP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pPr>
        <w:pStyle w:val="Normal"/>
        <w:tabs>
          <w:tab w:val="left" w:pos="709" w:leader="none"/>
        </w:tabs>
        <w:ind w:firstLine="709"/>
        <w:jc w:val="both"/>
        <w:rPr>
          <w:sz w:val="26"/>
          <w:szCs w:val="26"/>
          <w:lang w:eastAsia="en-US"/>
        </w:rPr>
      </w:pPr>
      <w:r>
        <w:rPr>
          <w:sz w:val="26"/>
          <w:szCs w:val="26"/>
          <w:lang w:eastAsia="en-US"/>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pPr>
        <w:pStyle w:val="Normal"/>
        <w:tabs>
          <w:tab w:val="left" w:pos="709" w:leader="none"/>
        </w:tabs>
        <w:ind w:firstLine="709"/>
        <w:jc w:val="both"/>
        <w:rPr>
          <w:sz w:val="26"/>
          <w:szCs w:val="26"/>
          <w:lang w:eastAsia="en-US"/>
        </w:rPr>
      </w:pPr>
      <w:r>
        <w:rPr>
          <w:sz w:val="26"/>
          <w:szCs w:val="26"/>
          <w:lang w:eastAsia="en-US"/>
        </w:rPr>
        <w:t>Фактическая вторичная нагрузка выбранных ТТ должна находиться в диапазоне, обеспечивающем соответствующий класс точности согласно требований ГОСТ, или в расширенном диапазоне согласно пределам, установленным производителем.</w:t>
      </w:r>
    </w:p>
    <w:p>
      <w:pPr>
        <w:pStyle w:val="Normal"/>
        <w:tabs>
          <w:tab w:val="left" w:pos="709" w:leader="none"/>
        </w:tabs>
        <w:ind w:firstLine="709"/>
        <w:jc w:val="both"/>
        <w:rPr>
          <w:sz w:val="26"/>
          <w:szCs w:val="26"/>
          <w:lang w:eastAsia="en-US"/>
        </w:rPr>
      </w:pPr>
      <w:r>
        <w:rPr>
          <w:sz w:val="26"/>
          <w:szCs w:val="26"/>
          <w:lang w:eastAsia="en-US"/>
        </w:rPr>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pPr>
        <w:pStyle w:val="Normal"/>
        <w:tabs>
          <w:tab w:val="left" w:pos="709" w:leader="none"/>
        </w:tabs>
        <w:ind w:firstLine="709"/>
        <w:jc w:val="both"/>
        <w:rPr>
          <w:sz w:val="26"/>
          <w:szCs w:val="26"/>
          <w:lang w:eastAsia="en-US"/>
        </w:rPr>
      </w:pPr>
      <w:r>
        <w:rPr>
          <w:sz w:val="26"/>
          <w:szCs w:val="26"/>
          <w:lang w:eastAsia="en-US"/>
        </w:rPr>
        <w:t xml:space="preserve">Цифровые выходы ТТ должны соответствовать МЭК 61850-9-2 </w:t>
      </w:r>
      <w:r>
        <w:rPr>
          <w:rFonts w:hint="eastAsia"/>
          <w:sz w:val="26"/>
          <w:szCs w:val="26"/>
          <w:lang w:eastAsia="en-US"/>
        </w:rPr>
        <w:t>«Системы</w:t>
      </w:r>
      <w:r>
        <w:rPr>
          <w:sz w:val="26"/>
          <w:szCs w:val="26"/>
          <w:lang w:eastAsia="en-US"/>
        </w:rPr>
        <w:t xml:space="preserve"> </w:t>
      </w:r>
      <w:r>
        <w:rPr>
          <w:rFonts w:hint="eastAsia"/>
          <w:sz w:val="26"/>
          <w:szCs w:val="26"/>
          <w:lang w:eastAsia="en-US"/>
        </w:rPr>
        <w:t>автоматизации</w:t>
      </w:r>
      <w:r>
        <w:rPr>
          <w:sz w:val="26"/>
          <w:szCs w:val="26"/>
          <w:lang w:eastAsia="en-US"/>
        </w:rPr>
        <w:t xml:space="preserve"> </w:t>
      </w:r>
      <w:r>
        <w:rPr>
          <w:rFonts w:hint="eastAsia"/>
          <w:sz w:val="26"/>
          <w:szCs w:val="26"/>
          <w:lang w:eastAsia="en-US"/>
        </w:rPr>
        <w:t>и</w:t>
      </w:r>
      <w:r>
        <w:rPr>
          <w:sz w:val="26"/>
          <w:szCs w:val="26"/>
          <w:lang w:eastAsia="en-US"/>
        </w:rPr>
        <w:t xml:space="preserve"> </w:t>
      </w:r>
      <w:r>
        <w:rPr>
          <w:rFonts w:hint="eastAsia"/>
          <w:sz w:val="26"/>
          <w:szCs w:val="26"/>
          <w:lang w:eastAsia="en-US"/>
        </w:rPr>
        <w:t>сети</w:t>
      </w:r>
      <w:r>
        <w:rPr>
          <w:sz w:val="26"/>
          <w:szCs w:val="26"/>
          <w:lang w:eastAsia="en-US"/>
        </w:rPr>
        <w:t xml:space="preserve"> </w:t>
      </w:r>
      <w:r>
        <w:rPr>
          <w:rFonts w:hint="eastAsia"/>
          <w:sz w:val="26"/>
          <w:szCs w:val="26"/>
          <w:lang w:eastAsia="en-US"/>
        </w:rPr>
        <w:t>связи</w:t>
      </w:r>
      <w:r>
        <w:rPr>
          <w:sz w:val="26"/>
          <w:szCs w:val="26"/>
          <w:lang w:eastAsia="en-US"/>
        </w:rPr>
        <w:t xml:space="preserve"> </w:t>
      </w:r>
      <w:r>
        <w:rPr>
          <w:rFonts w:hint="eastAsia"/>
          <w:sz w:val="26"/>
          <w:szCs w:val="26"/>
          <w:lang w:eastAsia="en-US"/>
        </w:rPr>
        <w:t>на</w:t>
      </w:r>
      <w:r>
        <w:rPr>
          <w:sz w:val="26"/>
          <w:szCs w:val="26"/>
          <w:lang w:eastAsia="en-US"/>
        </w:rPr>
        <w:t xml:space="preserve"> </w:t>
      </w:r>
      <w:r>
        <w:rPr>
          <w:rFonts w:hint="eastAsia"/>
          <w:sz w:val="26"/>
          <w:szCs w:val="26"/>
          <w:lang w:eastAsia="en-US"/>
        </w:rPr>
        <w:t>подстанциях</w:t>
      </w:r>
      <w:r>
        <w:rPr>
          <w:sz w:val="26"/>
          <w:szCs w:val="26"/>
          <w:lang w:eastAsia="en-US"/>
        </w:rPr>
        <w:t xml:space="preserve">. </w:t>
      </w:r>
      <w:r>
        <w:rPr>
          <w:rFonts w:hint="eastAsia"/>
          <w:sz w:val="26"/>
          <w:szCs w:val="26"/>
          <w:lang w:eastAsia="en-US"/>
        </w:rPr>
        <w:t>Часть</w:t>
      </w:r>
      <w:r>
        <w:rPr>
          <w:sz w:val="26"/>
          <w:szCs w:val="26"/>
          <w:lang w:eastAsia="en-US"/>
        </w:rPr>
        <w:t xml:space="preserve"> 9-2. </w:t>
      </w:r>
      <w:r>
        <w:rPr>
          <w:rFonts w:hint="eastAsia"/>
          <w:sz w:val="26"/>
          <w:szCs w:val="26"/>
          <w:lang w:eastAsia="en-US"/>
        </w:rPr>
        <w:t>Схема</w:t>
      </w:r>
      <w:r>
        <w:rPr>
          <w:sz w:val="26"/>
          <w:szCs w:val="26"/>
          <w:lang w:eastAsia="en-US"/>
        </w:rPr>
        <w:t xml:space="preserve"> </w:t>
      </w:r>
      <w:r>
        <w:rPr>
          <w:rFonts w:hint="eastAsia"/>
          <w:sz w:val="26"/>
          <w:szCs w:val="26"/>
          <w:lang w:eastAsia="en-US"/>
        </w:rPr>
        <w:t>особого</w:t>
      </w:r>
      <w:r>
        <w:rPr>
          <w:sz w:val="26"/>
          <w:szCs w:val="26"/>
          <w:lang w:eastAsia="en-US"/>
        </w:rPr>
        <w:t xml:space="preserve"> </w:t>
      </w:r>
      <w:r>
        <w:rPr>
          <w:rFonts w:hint="eastAsia"/>
          <w:sz w:val="26"/>
          <w:szCs w:val="26"/>
          <w:lang w:eastAsia="en-US"/>
        </w:rPr>
        <w:t>коммуникационного</w:t>
      </w:r>
      <w:r>
        <w:rPr>
          <w:sz w:val="26"/>
          <w:szCs w:val="26"/>
          <w:lang w:eastAsia="en-US"/>
        </w:rPr>
        <w:t xml:space="preserve"> </w:t>
      </w:r>
      <w:r>
        <w:rPr>
          <w:rFonts w:hint="eastAsia"/>
          <w:sz w:val="26"/>
          <w:szCs w:val="26"/>
          <w:lang w:eastAsia="en-US"/>
        </w:rPr>
        <w:t>сервиса</w:t>
      </w:r>
      <w:r>
        <w:rPr>
          <w:sz w:val="26"/>
          <w:szCs w:val="26"/>
          <w:lang w:eastAsia="en-US"/>
        </w:rPr>
        <w:t xml:space="preserve"> (SCSM). </w:t>
      </w:r>
      <w:r>
        <w:rPr>
          <w:rFonts w:hint="eastAsia"/>
          <w:sz w:val="26"/>
          <w:szCs w:val="26"/>
          <w:lang w:eastAsia="en-US"/>
        </w:rPr>
        <w:t>Значения</w:t>
      </w:r>
      <w:r>
        <w:rPr>
          <w:sz w:val="26"/>
          <w:szCs w:val="26"/>
          <w:lang w:eastAsia="en-US"/>
        </w:rPr>
        <w:t xml:space="preserve"> </w:t>
      </w:r>
      <w:r>
        <w:rPr>
          <w:rFonts w:hint="eastAsia"/>
          <w:sz w:val="26"/>
          <w:szCs w:val="26"/>
          <w:lang w:eastAsia="en-US"/>
        </w:rPr>
        <w:t>выборок</w:t>
      </w:r>
      <w:r>
        <w:rPr>
          <w:sz w:val="26"/>
          <w:szCs w:val="26"/>
          <w:lang w:eastAsia="en-US"/>
        </w:rPr>
        <w:t xml:space="preserve"> </w:t>
      </w:r>
      <w:r>
        <w:rPr>
          <w:rFonts w:hint="eastAsia"/>
          <w:sz w:val="26"/>
          <w:szCs w:val="26"/>
          <w:lang w:eastAsia="en-US"/>
        </w:rPr>
        <w:t>по</w:t>
      </w:r>
      <w:r>
        <w:rPr>
          <w:sz w:val="26"/>
          <w:szCs w:val="26"/>
          <w:lang w:eastAsia="en-US"/>
        </w:rPr>
        <w:t xml:space="preserve"> ISO/IEC 8802-3</w:t>
      </w:r>
      <w:r>
        <w:rPr>
          <w:rFonts w:hint="eastAsia"/>
          <w:sz w:val="26"/>
          <w:szCs w:val="26"/>
          <w:lang w:eastAsia="en-US"/>
        </w:rPr>
        <w:t>»</w:t>
      </w:r>
      <w:r>
        <w:rPr>
          <w:sz w:val="26"/>
          <w:szCs w:val="26"/>
          <w:lang w:eastAsia="en-US"/>
        </w:rPr>
        <w:t>.</w:t>
      </w:r>
    </w:p>
    <w:p>
      <w:pPr>
        <w:pStyle w:val="36"/>
        <w:numPr>
          <w:ilvl w:val="2"/>
          <w:numId w:val="5"/>
        </w:numPr>
        <w:tabs>
          <w:tab w:val="clear" w:pos="709"/>
          <w:tab w:val="left" w:pos="1134" w:leader="none"/>
          <w:tab w:val="left" w:pos="1276" w:leader="none"/>
        </w:tabs>
        <w:spacing w:before="0" w:after="0"/>
        <w:ind w:firstLine="709" w:left="0"/>
        <w:rPr/>
      </w:pPr>
      <w:bookmarkStart w:id="109" w:name="_Toc22938008"/>
      <w:bookmarkStart w:id="110" w:name="_Toc32489366"/>
      <w:bookmarkStart w:id="111" w:name="_Toc32496733"/>
      <w:r>
        <w:rPr>
          <w:sz w:val="26"/>
          <w:szCs w:val="26"/>
          <w:lang w:val="ru-RU"/>
        </w:rPr>
        <w:t>Требования к трансформаторам напряжения</w:t>
      </w:r>
      <w:bookmarkEnd w:id="109"/>
      <w:bookmarkEnd w:id="110"/>
      <w:bookmarkEnd w:id="111"/>
    </w:p>
    <w:p>
      <w:pPr>
        <w:pStyle w:val="Normal"/>
        <w:tabs>
          <w:tab w:val="clear" w:pos="709"/>
          <w:tab w:val="left" w:pos="426" w:leader="none"/>
          <w:tab w:val="left" w:pos="1134" w:leader="none"/>
        </w:tabs>
        <w:spacing w:before="0" w:after="0"/>
        <w:ind w:firstLine="680"/>
        <w:contextualSpacing/>
        <w:jc w:val="both"/>
        <w:rPr>
          <w:sz w:val="26"/>
          <w:szCs w:val="26"/>
        </w:rPr>
      </w:pPr>
      <w:r>
        <w:rPr>
          <w:sz w:val="26"/>
          <w:szCs w:val="26"/>
        </w:rPr>
        <w:t xml:space="preserve">Измерительные ТН по техническим характеристикам должны соответствовать </w:t>
      </w:r>
      <w:r>
        <w:rPr>
          <w:sz w:val="26"/>
          <w:szCs w:val="26"/>
        </w:rPr>
        <w:br w:type="textWrapping" w:clear="all"/>
      </w:r>
      <w:r>
        <w:rPr>
          <w:sz w:val="26"/>
          <w:szCs w:val="26"/>
        </w:rPr>
        <w:t>ГОСТ 1983-2015 «Трансформаторы напряжения. Общие технические условия».</w:t>
      </w:r>
    </w:p>
    <w:p>
      <w:pPr>
        <w:pStyle w:val="Normal"/>
        <w:tabs>
          <w:tab w:val="clear" w:pos="709"/>
          <w:tab w:val="left" w:pos="426" w:leader="none"/>
          <w:tab w:val="left" w:pos="1134" w:leader="none"/>
        </w:tabs>
        <w:spacing w:before="0" w:after="0"/>
        <w:ind w:firstLine="680"/>
        <w:contextualSpacing/>
        <w:jc w:val="both"/>
        <w:rPr>
          <w:sz w:val="26"/>
          <w:szCs w:val="26"/>
        </w:rPr>
      </w:pPr>
      <w:r>
        <w:rPr>
          <w:sz w:val="26"/>
          <w:szCs w:val="26"/>
        </w:rPr>
        <w:t>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w:t>
      </w:r>
    </w:p>
    <w:p>
      <w:pPr>
        <w:pStyle w:val="Normal"/>
        <w:widowControl w:val="false"/>
        <w:tabs>
          <w:tab w:val="clear" w:pos="709"/>
          <w:tab w:val="left" w:pos="426" w:leader="none"/>
          <w:tab w:val="left" w:pos="1134" w:leader="none"/>
        </w:tabs>
        <w:spacing w:before="0" w:after="0"/>
        <w:ind w:firstLine="680"/>
        <w:contextualSpacing/>
        <w:jc w:val="both"/>
        <w:rPr>
          <w:sz w:val="26"/>
          <w:szCs w:val="26"/>
        </w:rPr>
      </w:pPr>
      <w:r>
        <w:rPr>
          <w:sz w:val="26"/>
          <w:szCs w:val="26"/>
        </w:rPr>
        <w:t>Конструкция клеммных зажимов трансформаторов напряжения должна обеспечивать их защиту от несанкционированного доступа.</w:t>
      </w:r>
    </w:p>
    <w:p>
      <w:pPr>
        <w:pStyle w:val="Normal"/>
        <w:tabs>
          <w:tab w:val="clear" w:pos="709"/>
          <w:tab w:val="left" w:pos="426" w:leader="none"/>
          <w:tab w:val="left" w:pos="1134" w:leader="none"/>
        </w:tabs>
        <w:spacing w:before="0" w:after="0"/>
        <w:ind w:firstLine="680"/>
        <w:contextualSpacing/>
        <w:jc w:val="both"/>
        <w:rPr>
          <w:sz w:val="26"/>
          <w:szCs w:val="26"/>
        </w:rPr>
      </w:pPr>
      <w:r>
        <w:rPr>
          <w:sz w:val="26"/>
          <w:szCs w:val="26"/>
        </w:rPr>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pPr>
        <w:pStyle w:val="Normal"/>
        <w:tabs>
          <w:tab w:val="clear" w:pos="709"/>
          <w:tab w:val="left" w:pos="426" w:leader="none"/>
          <w:tab w:val="left" w:pos="1134" w:leader="none"/>
        </w:tabs>
        <w:spacing w:before="0" w:after="0"/>
        <w:ind w:firstLine="680"/>
        <w:contextualSpacing/>
        <w:jc w:val="both"/>
        <w:rPr>
          <w:sz w:val="26"/>
          <w:szCs w:val="26"/>
        </w:rPr>
      </w:pPr>
      <w:r>
        <w:rPr>
          <w:sz w:val="26"/>
          <w:szCs w:val="26"/>
        </w:rPr>
        <w:t>Межповерочный интервал трансформаторов напряжения должен составлять не менее 8 лет.</w:t>
      </w:r>
    </w:p>
    <w:p>
      <w:pPr>
        <w:pStyle w:val="Normal"/>
        <w:tabs>
          <w:tab w:val="left" w:pos="709" w:leader="none"/>
        </w:tabs>
        <w:ind w:firstLine="680"/>
        <w:jc w:val="both"/>
        <w:rPr>
          <w:sz w:val="26"/>
          <w:szCs w:val="26"/>
        </w:rPr>
      </w:pPr>
      <w:r>
        <w:rPr>
          <w:sz w:val="26"/>
          <w:szCs w:val="26"/>
        </w:rPr>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pPr>
        <w:pStyle w:val="Normal"/>
        <w:tabs>
          <w:tab w:val="left" w:pos="709" w:leader="none"/>
        </w:tabs>
        <w:ind w:firstLine="680"/>
        <w:jc w:val="both"/>
        <w:rPr>
          <w:sz w:val="26"/>
          <w:szCs w:val="26"/>
          <w:lang w:eastAsia="en-US" w:bidi="en-US"/>
        </w:rPr>
      </w:pPr>
      <w:r>
        <w:rPr>
          <w:sz w:val="26"/>
          <w:szCs w:val="26"/>
        </w:rPr>
        <w:t>Цифровые выходы ТН должны соответствовать</w:t>
      </w:r>
      <w:r>
        <w:rPr>
          <w:sz w:val="26"/>
          <w:szCs w:val="26"/>
          <w:lang w:eastAsia="en-US"/>
        </w:rPr>
        <w:t xml:space="preserve"> МЭК </w:t>
      </w:r>
      <w:r>
        <w:rPr>
          <w:rFonts w:ascii="ProximaNova-Regular" w:hAnsi="ProximaNova-Regular"/>
          <w:color w:val="333640"/>
          <w:sz w:val="26"/>
          <w:szCs w:val="26"/>
        </w:rPr>
        <w:t>61850-9-2 «</w:t>
      </w:r>
      <w:r>
        <w:rPr>
          <w:rStyle w:val="extended-textshort"/>
          <w:rFonts w:eastAsia="Batang"/>
          <w:sz w:val="26"/>
          <w:szCs w:val="26"/>
        </w:rPr>
        <w:t xml:space="preserve">Системы автоматизации и сети связи на подстанциях. Часть </w:t>
      </w:r>
      <w:r>
        <w:rPr>
          <w:rStyle w:val="extended-textshort"/>
          <w:rFonts w:eastAsia="Batang"/>
          <w:bCs/>
          <w:sz w:val="26"/>
          <w:szCs w:val="26"/>
        </w:rPr>
        <w:t>9</w:t>
      </w:r>
      <w:r>
        <w:rPr>
          <w:rStyle w:val="extended-textshort"/>
          <w:rFonts w:eastAsia="Batang"/>
          <w:sz w:val="26"/>
          <w:szCs w:val="26"/>
        </w:rPr>
        <w:t>-</w:t>
      </w:r>
      <w:r>
        <w:rPr>
          <w:rStyle w:val="extended-textshort"/>
          <w:rFonts w:eastAsia="Batang"/>
          <w:bCs/>
          <w:sz w:val="26"/>
          <w:szCs w:val="26"/>
        </w:rPr>
        <w:t>2</w:t>
      </w:r>
      <w:r>
        <w:rPr>
          <w:rStyle w:val="extended-textshort"/>
          <w:rFonts w:eastAsia="Batang"/>
          <w:sz w:val="26"/>
          <w:szCs w:val="26"/>
        </w:rPr>
        <w:t>. Схема особого коммуникационного сервиса (SCSM). Значения выборок по ISO/IEC 8802-3».</w:t>
      </w:r>
    </w:p>
    <w:p>
      <w:pPr>
        <w:pStyle w:val="36"/>
        <w:numPr>
          <w:ilvl w:val="2"/>
          <w:numId w:val="5"/>
        </w:numPr>
        <w:tabs>
          <w:tab w:val="clear" w:pos="709"/>
          <w:tab w:val="left" w:pos="1276" w:leader="none"/>
        </w:tabs>
        <w:spacing w:before="0" w:after="0"/>
        <w:ind w:firstLine="709" w:left="0"/>
        <w:rPr>
          <w:sz w:val="26"/>
          <w:szCs w:val="26"/>
          <w:lang w:val="ru-RU"/>
        </w:rPr>
      </w:pPr>
      <w:bookmarkStart w:id="112" w:name="_Toc22938009"/>
      <w:bookmarkStart w:id="113" w:name="_Toc32489367"/>
      <w:bookmarkStart w:id="114" w:name="_Toc32496734"/>
      <w:r>
        <w:rPr>
          <w:sz w:val="26"/>
          <w:szCs w:val="26"/>
          <w:lang w:val="ru-RU"/>
        </w:rPr>
        <w:t>Требования к системе организации единого времени</w:t>
      </w:r>
      <w:bookmarkEnd w:id="112"/>
      <w:bookmarkEnd w:id="113"/>
      <w:bookmarkEnd w:id="114"/>
    </w:p>
    <w:p>
      <w:pPr>
        <w:pStyle w:val="Normal"/>
        <w:widowControl w:val="false"/>
        <w:tabs>
          <w:tab w:val="clear" w:pos="709"/>
          <w:tab w:val="left" w:pos="426" w:leader="none"/>
          <w:tab w:val="left" w:pos="1134" w:leader="none"/>
        </w:tabs>
        <w:spacing w:before="0" w:after="0"/>
        <w:ind w:firstLine="680"/>
        <w:contextualSpacing/>
        <w:jc w:val="both"/>
        <w:rPr>
          <w:sz w:val="26"/>
          <w:szCs w:val="26"/>
        </w:rPr>
      </w:pPr>
      <w:r>
        <w:rPr>
          <w:sz w:val="26"/>
          <w:szCs w:val="26"/>
        </w:rPr>
        <w:t>Система обеспечения единого времени (далее - СОЕВ) должна выполнять законченную функцию измерения времени, иметь нормированные метрологические характеристики и обеспечивать автоматическую синхронизацию времени устройств системы учета при проведении измерений количества электроэнергии с точностью не хуже 5 с.</w:t>
      </w:r>
    </w:p>
    <w:p>
      <w:pPr>
        <w:pStyle w:val="Normal"/>
        <w:widowControl w:val="false"/>
        <w:tabs>
          <w:tab w:val="clear" w:pos="709"/>
          <w:tab w:val="left" w:pos="426" w:leader="none"/>
          <w:tab w:val="left" w:pos="1134" w:leader="none"/>
        </w:tabs>
        <w:spacing w:before="0" w:after="0"/>
        <w:ind w:firstLine="680"/>
        <w:contextualSpacing/>
        <w:jc w:val="both"/>
        <w:rPr>
          <w:sz w:val="26"/>
          <w:szCs w:val="26"/>
        </w:rPr>
      </w:pPr>
      <w:r>
        <w:rPr>
          <w:sz w:val="26"/>
          <w:szCs w:val="26"/>
        </w:rPr>
        <w:t>СОЕВ должна обеспечивать подачу синхронизирующих сигналов на все устройства системы учета (приборы учета электроэнергии, УСПД). При синхронизации должны учитываться временные характеристики (задержки) линий связи между устройствами.</w:t>
      </w:r>
    </w:p>
    <w:p>
      <w:pPr>
        <w:pStyle w:val="Normal"/>
        <w:widowControl w:val="false"/>
        <w:tabs>
          <w:tab w:val="clear" w:pos="709"/>
          <w:tab w:val="left" w:pos="426" w:leader="none"/>
          <w:tab w:val="left" w:pos="1134" w:leader="none"/>
        </w:tabs>
        <w:spacing w:before="0" w:after="0"/>
        <w:ind w:firstLine="680"/>
        <w:contextualSpacing/>
        <w:jc w:val="both"/>
        <w:rPr>
          <w:sz w:val="26"/>
          <w:szCs w:val="26"/>
        </w:rPr>
      </w:pPr>
      <w:r>
        <w:rPr>
          <w:sz w:val="26"/>
          <w:szCs w:val="26"/>
        </w:rPr>
        <w:t>Приемник сигналов точного времени должен подключаться к системе по цифровому интерфейсу.</w:t>
      </w:r>
    </w:p>
    <w:p>
      <w:pPr>
        <w:pStyle w:val="2H2H2212h22RTCiz2"/>
        <w:spacing w:before="0" w:after="0"/>
        <w:ind w:firstLine="709"/>
        <w:rPr>
          <w:rFonts w:ascii="Times New Roman" w:hAnsi="Times New Roman"/>
          <w:sz w:val="26"/>
          <w:szCs w:val="26"/>
        </w:rPr>
      </w:pPr>
      <w:bookmarkStart w:id="115" w:name="_Toc22938010"/>
      <w:bookmarkStart w:id="116" w:name="_Toc32489368"/>
      <w:bookmarkStart w:id="117" w:name="_Toc32496735"/>
      <w:r>
        <w:rPr>
          <w:rFonts w:ascii="Times New Roman" w:hAnsi="Times New Roman"/>
          <w:sz w:val="26"/>
          <w:szCs w:val="26"/>
        </w:rPr>
        <w:t>4.3. Требования к В</w:t>
      </w:r>
      <w:r>
        <w:rPr>
          <w:rFonts w:ascii="Times New Roman" w:hAnsi="Times New Roman"/>
          <w:sz w:val="26"/>
          <w:szCs w:val="26"/>
          <w:lang w:val="ru-RU"/>
        </w:rPr>
        <w:t>Ш</w:t>
      </w:r>
      <w:r>
        <w:rPr>
          <w:rFonts w:ascii="Times New Roman" w:hAnsi="Times New Roman"/>
          <w:sz w:val="26"/>
          <w:szCs w:val="26"/>
        </w:rPr>
        <w:t>У</w:t>
      </w:r>
      <w:bookmarkEnd w:id="115"/>
      <w:bookmarkEnd w:id="116"/>
      <w:bookmarkEnd w:id="117"/>
    </w:p>
    <w:p>
      <w:pPr>
        <w:pStyle w:val="Normal"/>
        <w:ind w:firstLine="709"/>
        <w:jc w:val="both"/>
        <w:rPr>
          <w:sz w:val="26"/>
          <w:szCs w:val="26"/>
        </w:rPr>
      </w:pPr>
      <w:r>
        <w:rPr>
          <w:sz w:val="26"/>
          <w:szCs w:val="26"/>
        </w:rPr>
        <w:t>ВШУ (выносной шкаф учета) предназначен для применения в качестве конструкции выносной системы учета электроэнергии, устанавливаемого на опорах ВЛ 0,4 кВ, на стенах ВРУ-0,4 кВ, на наружных стенах жилых, общественных и производственных зданий.</w:t>
      </w:r>
    </w:p>
    <w:p>
      <w:pPr>
        <w:pStyle w:val="Normal"/>
        <w:jc w:val="both"/>
        <w:rPr>
          <w:sz w:val="26"/>
          <w:szCs w:val="26"/>
        </w:rPr>
      </w:pPr>
      <w:r>
        <w:rPr>
          <w:sz w:val="26"/>
          <w:szCs w:val="26"/>
        </w:rPr>
        <w:tab/>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pPr>
        <w:pStyle w:val="Normal"/>
        <w:jc w:val="both"/>
        <w:rPr>
          <w:sz w:val="26"/>
          <w:szCs w:val="26"/>
        </w:rPr>
      </w:pPr>
      <w:r>
        <w:rPr>
          <w:sz w:val="26"/>
          <w:szCs w:val="26"/>
        </w:rPr>
        <w:tab/>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pPr>
        <w:pStyle w:val="Normal"/>
        <w:jc w:val="both"/>
        <w:rPr>
          <w:sz w:val="26"/>
          <w:szCs w:val="26"/>
        </w:rPr>
      </w:pPr>
      <w:r>
        <w:rPr>
          <w:sz w:val="26"/>
          <w:szCs w:val="26"/>
        </w:rPr>
        <w:tab/>
        <w:t>В состав ВШУ входят:</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приборы учета электроэнергии непосредственного или трансформаторного включения;</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рубильник (выключатель нагрузки) до прибора учета, выбранный в соответствии с проектной документацией;</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автоматический выключатель нагрузки для прибора учета непосредственного включения, установленный после прибора учета;</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испытательная клеммная коробка (для трехфазных приборов учета трансформаторного включения);</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трансформаторы тока (только для ВШУ трансформаторного включения не более 400 А);</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электрические провода цепей измерения электроэнергии;</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электрические провода цепей ТС;</w:t>
      </w:r>
    </w:p>
    <w:p>
      <w:pPr>
        <w:pStyle w:val="Normal"/>
        <w:numPr>
          <w:ilvl w:val="0"/>
          <w:numId w:val="16"/>
        </w:numPr>
        <w:tabs>
          <w:tab w:val="clear" w:pos="709"/>
          <w:tab w:val="left" w:pos="993" w:leader="none"/>
        </w:tabs>
        <w:ind w:firstLine="737" w:left="-28"/>
        <w:jc w:val="both"/>
        <w:rPr>
          <w:spacing w:val="-5"/>
          <w:sz w:val="26"/>
          <w:szCs w:val="26"/>
        </w:rPr>
      </w:pPr>
      <w:r>
        <w:rPr>
          <w:spacing w:val="-5"/>
          <w:sz w:val="26"/>
          <w:szCs w:val="26"/>
        </w:rPr>
        <w:t>концевой выключатель;</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pPr>
        <w:pStyle w:val="Normal"/>
        <w:tabs>
          <w:tab w:val="clear" w:pos="709"/>
          <w:tab w:val="left" w:pos="993" w:leader="none"/>
        </w:tabs>
        <w:ind w:left="709"/>
        <w:jc w:val="both"/>
        <w:rPr>
          <w:spacing w:val="-5"/>
          <w:sz w:val="26"/>
          <w:szCs w:val="26"/>
        </w:rPr>
      </w:pPr>
      <w:r>
        <w:rPr>
          <w:spacing w:val="-5"/>
          <w:sz w:val="26"/>
          <w:szCs w:val="26"/>
        </w:rPr>
        <w:t>Конструкция шкафа учета должна предусматривать возможность:</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визуального снятия показаний прибора учета без отпирания дверцы (наличие прозрачного окна);</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установки однофазного или трехфазного прибора учета в зависимости от спецификации и автоматических выключателей на дин-рейку;</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установку модема и выносной антенны.</w:t>
      </w:r>
    </w:p>
    <w:p>
      <w:pPr>
        <w:pStyle w:val="Normal"/>
        <w:ind w:firstLine="709"/>
        <w:jc w:val="both"/>
        <w:rPr>
          <w:sz w:val="26"/>
          <w:szCs w:val="26"/>
        </w:rPr>
      </w:pPr>
      <w:r>
        <w:rPr>
          <w:sz w:val="26"/>
          <w:szCs w:val="26"/>
        </w:rPr>
        <w:t>Для исключения несанкционированного доступа к прибору учета, на корпусе должно быть предусмотрено место для опломбирования дверцы ВШУ.</w:t>
      </w:r>
    </w:p>
    <w:p>
      <w:pPr>
        <w:pStyle w:val="Normal"/>
        <w:jc w:val="both"/>
        <w:rPr>
          <w:sz w:val="26"/>
          <w:szCs w:val="26"/>
        </w:rPr>
      </w:pPr>
      <w:r>
        <w:rPr>
          <w:sz w:val="26"/>
          <w:szCs w:val="26"/>
        </w:rPr>
        <w:tab/>
        <w:t>ВШУ должен иметь степень защиты IP - 54 в следующих местах сопряжения:</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по периметру примыкания дверцы к корпусу шкафа;</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в местах ввода-вывода кабелей;</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в местах крепления монтажных скоб на задней стенке шкафа;</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в конструкции замка;</w:t>
      </w:r>
    </w:p>
    <w:p>
      <w:pPr>
        <w:pStyle w:val="Normal"/>
        <w:numPr>
          <w:ilvl w:val="0"/>
          <w:numId w:val="16"/>
        </w:numPr>
        <w:tabs>
          <w:tab w:val="clear" w:pos="709"/>
          <w:tab w:val="left" w:pos="993" w:leader="none"/>
        </w:tabs>
        <w:ind w:firstLine="709" w:left="0"/>
        <w:jc w:val="both"/>
        <w:rPr>
          <w:spacing w:val="-5"/>
          <w:sz w:val="26"/>
          <w:szCs w:val="26"/>
        </w:rPr>
      </w:pPr>
      <w:r>
        <w:rPr>
          <w:spacing w:val="-5"/>
          <w:sz w:val="26"/>
          <w:szCs w:val="26"/>
        </w:rPr>
        <w:t>ВШУ должен быть укомплектован гермовводами в количестве не менее 2 шт.</w:t>
      </w:r>
    </w:p>
    <w:p>
      <w:pPr>
        <w:pStyle w:val="Normal"/>
        <w:jc w:val="both"/>
        <w:rPr>
          <w:sz w:val="26"/>
          <w:szCs w:val="26"/>
        </w:rPr>
      </w:pPr>
      <w:r>
        <w:rPr>
          <w:sz w:val="26"/>
          <w:szCs w:val="26"/>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pPr>
        <w:pStyle w:val="Normal"/>
        <w:ind w:firstLine="709"/>
        <w:jc w:val="both"/>
        <w:rPr>
          <w:sz w:val="26"/>
          <w:szCs w:val="26"/>
        </w:rPr>
      </w:pPr>
      <w:r>
        <w:rPr>
          <w:sz w:val="26"/>
          <w:szCs w:val="26"/>
        </w:rPr>
        <w:t>Средний срок службы ВШУ не менее - 15 лет.</w:t>
      </w:r>
    </w:p>
    <w:p>
      <w:pPr>
        <w:pStyle w:val="Normal"/>
        <w:ind w:firstLine="709"/>
        <w:rPr>
          <w:sz w:val="26"/>
          <w:szCs w:val="26"/>
        </w:rPr>
      </w:pPr>
      <w:r>
        <w:rPr>
          <w:sz w:val="26"/>
          <w:szCs w:val="26"/>
        </w:rPr>
        <w:t>Гарантийный срок хранения и эксплуатации ВШУ не менее - 60 месяцев.</w:t>
      </w:r>
    </w:p>
    <w:p>
      <w:pPr>
        <w:pStyle w:val="2H2H2212h22RTCiz2"/>
        <w:spacing w:before="0" w:after="0"/>
        <w:ind w:firstLine="709"/>
        <w:rPr>
          <w:rFonts w:ascii="Times New Roman" w:hAnsi="Times New Roman"/>
          <w:sz w:val="26"/>
          <w:szCs w:val="26"/>
        </w:rPr>
      </w:pPr>
      <w:bookmarkStart w:id="118" w:name="_Toc22938011"/>
      <w:bookmarkStart w:id="119" w:name="_Toc32489369"/>
      <w:bookmarkStart w:id="120" w:name="_Toc32496736"/>
      <w:r>
        <w:rPr>
          <w:rFonts w:ascii="Times New Roman" w:hAnsi="Times New Roman"/>
          <w:sz w:val="26"/>
          <w:szCs w:val="26"/>
        </w:rPr>
        <w:t>4.</w:t>
      </w:r>
      <w:r>
        <w:rPr>
          <w:rFonts w:ascii="Times New Roman" w:hAnsi="Times New Roman"/>
          <w:sz w:val="26"/>
          <w:szCs w:val="26"/>
          <w:lang w:val="ru-RU"/>
        </w:rPr>
        <w:t>4</w:t>
      </w:r>
      <w:r>
        <w:rPr>
          <w:rFonts w:ascii="Times New Roman" w:hAnsi="Times New Roman"/>
          <w:sz w:val="26"/>
          <w:szCs w:val="26"/>
        </w:rPr>
        <w:t>. Требования к ИВКЭ</w:t>
      </w:r>
      <w:bookmarkEnd w:id="118"/>
      <w:bookmarkEnd w:id="119"/>
      <w:bookmarkEnd w:id="120"/>
      <w:r>
        <w:rPr>
          <w:rStyle w:val="FootnoteReference"/>
          <w:rFonts w:ascii="Times New Roman" w:hAnsi="Times New Roman"/>
          <w:sz w:val="26"/>
          <w:szCs w:val="26"/>
        </w:rPr>
        <w:footnoteReference w:id="4"/>
      </w:r>
    </w:p>
    <w:p>
      <w:pPr>
        <w:pStyle w:val="Normal"/>
        <w:widowControl w:val="false"/>
        <w:ind w:firstLine="709"/>
        <w:jc w:val="both"/>
        <w:rPr>
          <w:sz w:val="26"/>
          <w:szCs w:val="26"/>
          <w:lang w:eastAsia="en-US" w:bidi="en-US"/>
        </w:rPr>
      </w:pPr>
      <w:r>
        <w:rPr>
          <w:sz w:val="26"/>
          <w:szCs w:val="26"/>
          <w:lang w:eastAsia="en-US" w:bidi="en-US"/>
        </w:rPr>
        <w:t>При наличии в техническом здании и (или)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pPr>
        <w:pStyle w:val="Normal"/>
        <w:widowControl w:val="false"/>
        <w:ind w:firstLine="709"/>
        <w:jc w:val="both"/>
        <w:rPr>
          <w:sz w:val="26"/>
          <w:szCs w:val="26"/>
          <w:lang w:eastAsia="en-US" w:bidi="en-US"/>
        </w:rPr>
      </w:pPr>
      <w:r>
        <w:rPr>
          <w:sz w:val="26"/>
          <w:szCs w:val="26"/>
          <w:lang w:eastAsia="en-US" w:bidi="en-US"/>
        </w:rPr>
        <w:t xml:space="preserve">Для определения требований к основным техническим характеристикам УСПД руководствоваться </w:t>
      </w:r>
      <w:r>
        <w:rPr>
          <w:bCs/>
          <w:iCs/>
          <w:sz w:val="26"/>
          <w:szCs w:val="26"/>
        </w:rPr>
        <w:t xml:space="preserve">СТО 34.01-5.1-014-2025 «Устройства сбора данных учета электрической энергии (мощности). Общие технические требования» </w:t>
      </w:r>
      <w:r>
        <w:rPr>
          <w:sz w:val="26"/>
          <w:szCs w:val="26"/>
          <w:lang w:eastAsia="en-US" w:bidi="en-US"/>
        </w:rPr>
        <w:t>(за исключением требований к заводу-изготовителю и сервисным центрам).</w:t>
      </w:r>
    </w:p>
    <w:p>
      <w:pPr>
        <w:pStyle w:val="Normal"/>
        <w:widowControl w:val="false"/>
        <w:ind w:firstLine="709"/>
        <w:jc w:val="both"/>
        <w:rPr>
          <w:sz w:val="26"/>
          <w:szCs w:val="26"/>
          <w:lang w:eastAsia="en-US" w:bidi="en-US"/>
        </w:rPr>
      </w:pPr>
      <w:r>
        <w:rPr>
          <w:sz w:val="26"/>
          <w:szCs w:val="26"/>
          <w:lang w:eastAsia="en-US" w:bidi="en-US"/>
        </w:rPr>
        <w:t xml:space="preserve">УСПД должно быть оснащено СКЗИ, при этом УСПД с СКЗИ должно иметь заключение в специализированной организации ФСБ России о прохождении оценки влияния УСПД на СКЗИ с выводами о возможности применения СКЗИ в составе УСПД. </w:t>
      </w:r>
    </w:p>
    <w:p>
      <w:pPr>
        <w:pStyle w:val="Normal"/>
        <w:widowControl w:val="false"/>
        <w:ind w:firstLine="709"/>
        <w:jc w:val="both"/>
        <w:rPr>
          <w:sz w:val="26"/>
          <w:szCs w:val="26"/>
          <w:lang w:eastAsia="en-US" w:bidi="en-US"/>
        </w:rPr>
      </w:pPr>
      <w:r>
        <w:rPr>
          <w:sz w:val="26"/>
          <w:szCs w:val="26"/>
          <w:lang w:eastAsia="en-US" w:bidi="en-US"/>
        </w:rPr>
        <w:t>В части телесигнализации ИВКЭ осуществляет информирование в соответствии с пп. 6.1.6, 6.5, приложение 1 к СТО 34.01-21-005-2019 «Цифровая электрическая сеть. Требования к проектированию цифровых распределительных электрических сетей 0,4-220 кВ».</w:t>
      </w:r>
    </w:p>
    <w:p>
      <w:pPr>
        <w:pStyle w:val="Normal"/>
        <w:widowControl w:val="false"/>
        <w:ind w:firstLine="709"/>
        <w:jc w:val="both"/>
        <w:rPr>
          <w:sz w:val="26"/>
          <w:szCs w:val="26"/>
          <w:lang w:eastAsia="en-US" w:bidi="en-US"/>
        </w:rPr>
      </w:pPr>
      <w:r>
        <w:rPr>
          <w:sz w:val="26"/>
          <w:szCs w:val="26"/>
          <w:lang w:eastAsia="en-US" w:bidi="en-US"/>
        </w:rPr>
        <w:t xml:space="preserve">Выносной шкаф с УСПД должен быть оснащен сигнализацией о вскрытии. События вскрытия шкафа должны инициативно передаваться через УСПД в ИВК ВУ и ОИК </w:t>
      </w:r>
      <w:r>
        <w:rPr>
          <w:sz w:val="26"/>
          <w:szCs w:val="26"/>
        </w:rPr>
        <w:t>ЦУС</w:t>
      </w:r>
      <w:r>
        <w:rPr>
          <w:sz w:val="26"/>
          <w:szCs w:val="26"/>
          <w:lang w:eastAsia="en-US" w:bidi="en-US"/>
        </w:rPr>
        <w:t>.</w:t>
      </w:r>
    </w:p>
    <w:p>
      <w:pPr>
        <w:pStyle w:val="Normal"/>
        <w:ind w:firstLine="709"/>
        <w:jc w:val="both"/>
        <w:rPr>
          <w:sz w:val="26"/>
          <w:szCs w:val="26"/>
          <w:lang w:eastAsia="en-US" w:bidi="en-US"/>
        </w:rPr>
      </w:pPr>
      <w:r>
        <w:rPr>
          <w:sz w:val="26"/>
          <w:szCs w:val="26"/>
          <w:lang w:eastAsia="en-US" w:bidi="en-US"/>
        </w:rPr>
        <w:t xml:space="preserve">При параметрировании ИВКЭ в «Журнале событий» автоматически должно фиксироваться это событие с указанием даты и времени и отправляться на ИВК ВУ </w:t>
      </w:r>
      <w:r>
        <w:rPr>
          <w:iCs/>
          <w:sz w:val="26"/>
          <w:szCs w:val="26"/>
        </w:rPr>
        <w:t>без применения промежуточного программного обеспечения</w:t>
      </w:r>
      <w:r>
        <w:rPr>
          <w:sz w:val="26"/>
          <w:szCs w:val="26"/>
          <w:lang w:eastAsia="en-US" w:bidi="en-US"/>
        </w:rPr>
        <w:t>.</w:t>
      </w:r>
    </w:p>
    <w:p>
      <w:pPr>
        <w:pStyle w:val="2H2H2212h22RTCiz2"/>
        <w:spacing w:before="0" w:after="0"/>
        <w:ind w:firstLine="709"/>
        <w:rPr>
          <w:rFonts w:ascii="Times New Roman" w:hAnsi="Times New Roman"/>
          <w:sz w:val="26"/>
          <w:szCs w:val="26"/>
          <w:lang w:val="ru-RU"/>
        </w:rPr>
      </w:pPr>
      <w:bookmarkStart w:id="121" w:name="_Toc22938012"/>
      <w:bookmarkStart w:id="122" w:name="_Toc32489370"/>
      <w:bookmarkStart w:id="123" w:name="_Toc32496737"/>
      <w:r>
        <w:rPr>
          <w:rFonts w:ascii="Times New Roman" w:hAnsi="Times New Roman"/>
          <w:sz w:val="26"/>
          <w:szCs w:val="26"/>
        </w:rPr>
        <w:t>4.</w:t>
      </w:r>
      <w:r>
        <w:rPr>
          <w:rFonts w:ascii="Times New Roman" w:hAnsi="Times New Roman"/>
          <w:sz w:val="26"/>
          <w:szCs w:val="26"/>
          <w:lang w:val="ru-RU"/>
        </w:rPr>
        <w:t>5</w:t>
      </w:r>
      <w:r>
        <w:rPr>
          <w:rFonts w:ascii="Times New Roman" w:hAnsi="Times New Roman"/>
          <w:sz w:val="26"/>
          <w:szCs w:val="26"/>
        </w:rPr>
        <w:t>. Требования к монтажу и местам установки оборудования</w:t>
      </w:r>
      <w:bookmarkEnd w:id="121"/>
      <w:bookmarkEnd w:id="122"/>
      <w:bookmarkEnd w:id="123"/>
    </w:p>
    <w:p>
      <w:pPr>
        <w:pStyle w:val="Normal"/>
        <w:ind w:firstLine="709"/>
        <w:jc w:val="both"/>
        <w:rPr>
          <w:sz w:val="26"/>
          <w:szCs w:val="26"/>
        </w:rPr>
      </w:pPr>
      <w:r>
        <w:rPr>
          <w:sz w:val="26"/>
          <w:szCs w:val="26"/>
        </w:rPr>
        <w:t>Места установки оборудования определяются в соответствии с типовыми проектами АО «ЕЭСК» и типовыми техническими решениями ПАО «Россети» по организации интеллектуального учета электроэнергии.</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lang w:eastAsia="en-US"/>
        </w:rPr>
      </w:pPr>
      <w:r>
        <w:rPr>
          <w:sz w:val="26"/>
          <w:szCs w:val="26"/>
          <w:lang w:eastAsia="en-US"/>
        </w:rPr>
        <w:t xml:space="preserve">Необходимо предусмотреть установку приборов учета электроэнергии на вводные и отходящие присоединения подстанций 6-20 кВ и выше и </w:t>
      </w:r>
      <w:r>
        <w:rPr>
          <w:sz w:val="26"/>
          <w:szCs w:val="26"/>
        </w:rPr>
        <w:t>границах балансовой принадлежности с потребителями</w:t>
      </w:r>
      <w:r>
        <w:rPr>
          <w:sz w:val="26"/>
          <w:szCs w:val="26"/>
          <w:lang w:eastAsia="en-US"/>
        </w:rPr>
        <w:t>, позволяющих осуществлять их дистанционную настройку и мониторинг состояния.</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При установке системы учета потребителям индивидуальной застройки:</w:t>
      </w:r>
    </w:p>
    <w:p>
      <w:pPr>
        <w:pStyle w:val="19"/>
        <w:widowControl w:val="false"/>
        <w:numPr>
          <w:ilvl w:val="0"/>
          <w:numId w:val="17"/>
        </w:numPr>
        <w:tabs>
          <w:tab w:val="clear" w:pos="709"/>
          <w:tab w:val="left" w:pos="993" w:leader="none"/>
        </w:tabs>
        <w:spacing w:before="0" w:after="0"/>
        <w:ind w:firstLine="737" w:left="0"/>
        <w:contextualSpacing/>
        <w:rPr>
          <w:sz w:val="26"/>
          <w:szCs w:val="26"/>
        </w:rPr>
      </w:pPr>
      <w:r>
        <w:rPr>
          <w:sz w:val="26"/>
          <w:szCs w:val="26"/>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p>
    <w:p>
      <w:pPr>
        <w:pStyle w:val="19"/>
        <w:numPr>
          <w:ilvl w:val="0"/>
          <w:numId w:val="17"/>
        </w:numPr>
        <w:tabs>
          <w:tab w:val="clear" w:pos="709"/>
          <w:tab w:val="left" w:pos="993" w:leader="none"/>
        </w:tabs>
        <w:spacing w:before="0" w:after="0"/>
        <w:ind w:firstLine="737" w:left="0"/>
        <w:contextualSpacing/>
        <w:rPr>
          <w:sz w:val="26"/>
          <w:szCs w:val="26"/>
        </w:rPr>
      </w:pPr>
      <w:r>
        <w:rPr>
          <w:sz w:val="26"/>
          <w:szCs w:val="26"/>
        </w:rPr>
        <w:t xml:space="preserve">в случае установки </w:t>
      </w:r>
      <w:r>
        <w:rPr>
          <w:sz w:val="26"/>
          <w:szCs w:val="26"/>
          <w:lang w:val="ru-RU"/>
        </w:rPr>
        <w:t>приборов</w:t>
      </w:r>
      <w:r>
        <w:rPr>
          <w:sz w:val="26"/>
          <w:szCs w:val="26"/>
        </w:rPr>
        <w:t xml:space="preserve">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w:t>
      </w:r>
      <w:r>
        <w:rPr>
          <w:sz w:val="26"/>
          <w:szCs w:val="26"/>
          <w:lang w:val="ru-RU"/>
        </w:rPr>
        <w:t>, позволяющее провести идентификацию без подъема персонала на опору</w:t>
      </w:r>
      <w:r>
        <w:rPr>
          <w:sz w:val="26"/>
          <w:szCs w:val="26"/>
        </w:rPr>
        <w:t>;</w:t>
      </w:r>
    </w:p>
    <w:p>
      <w:pPr>
        <w:pStyle w:val="19"/>
        <w:widowControl w:val="false"/>
        <w:numPr>
          <w:ilvl w:val="0"/>
          <w:numId w:val="17"/>
        </w:numPr>
        <w:tabs>
          <w:tab w:val="clear" w:pos="709"/>
          <w:tab w:val="left" w:pos="993" w:leader="none"/>
        </w:tabs>
        <w:spacing w:before="0" w:after="0"/>
        <w:ind w:firstLine="737" w:left="0"/>
        <w:contextualSpacing/>
        <w:rPr>
          <w:sz w:val="26"/>
          <w:szCs w:val="26"/>
        </w:rPr>
      </w:pPr>
      <w:r>
        <w:rPr>
          <w:sz w:val="26"/>
          <w:szCs w:val="26"/>
        </w:rPr>
        <w:t>комплектация шкафа должна включать</w:t>
      </w:r>
      <w:r>
        <w:rPr>
          <w:sz w:val="26"/>
          <w:szCs w:val="26"/>
          <w:lang w:val="ru-RU"/>
        </w:rPr>
        <w:t xml:space="preserve"> в себя автоматический выключатель или выключатель нагрузки</w:t>
      </w:r>
      <w:r>
        <w:rPr>
          <w:sz w:val="26"/>
          <w:szCs w:val="26"/>
        </w:rPr>
        <w:t xml:space="preserve"> до прибора учета и автоматический выключатель после прибора учета</w:t>
      </w:r>
      <w:r>
        <w:rPr>
          <w:sz w:val="26"/>
          <w:szCs w:val="26"/>
          <w:lang w:val="ru-RU"/>
        </w:rPr>
        <w:t xml:space="preserve"> непосредственного включения</w:t>
      </w:r>
      <w:r>
        <w:rPr>
          <w:sz w:val="26"/>
          <w:szCs w:val="26"/>
        </w:rPr>
        <w:t>. Конструкция шкафа должна позволять без вскрытия производить визуальный съ</w:t>
      </w:r>
      <w:r>
        <w:rPr>
          <w:sz w:val="26"/>
          <w:szCs w:val="26"/>
          <w:lang w:val="ru-RU"/>
        </w:rPr>
        <w:t>е</w:t>
      </w:r>
      <w:r>
        <w:rPr>
          <w:sz w:val="26"/>
          <w:szCs w:val="26"/>
        </w:rPr>
        <w:t>м контрольных показаний с прибора учета, просмотр всех инди</w:t>
      </w:r>
      <w:r>
        <w:rPr>
          <w:sz w:val="26"/>
          <w:szCs w:val="26"/>
          <w:lang w:val="ru-RU"/>
        </w:rPr>
        <w:t>цируемых данных</w:t>
      </w:r>
      <w:r>
        <w:rPr>
          <w:sz w:val="26"/>
          <w:szCs w:val="26"/>
        </w:rPr>
        <w:t xml:space="preserve"> и других параметров отображающихся на дисплее прибора учета;</w:t>
      </w:r>
    </w:p>
    <w:p>
      <w:pPr>
        <w:pStyle w:val="19"/>
        <w:numPr>
          <w:ilvl w:val="0"/>
          <w:numId w:val="17"/>
        </w:numPr>
        <w:tabs>
          <w:tab w:val="clear" w:pos="709"/>
          <w:tab w:val="left" w:pos="993" w:leader="none"/>
        </w:tabs>
        <w:spacing w:before="0" w:after="0"/>
        <w:ind w:firstLine="737" w:left="0"/>
        <w:contextualSpacing/>
        <w:rPr>
          <w:sz w:val="26"/>
          <w:szCs w:val="26"/>
        </w:rPr>
      </w:pPr>
      <w:r>
        <w:rPr>
          <w:sz w:val="26"/>
          <w:szCs w:val="26"/>
        </w:rPr>
        <w:t xml:space="preserve">внутридомовую сеть подключить к прибору учета </w:t>
      </w:r>
      <w:r>
        <w:rPr>
          <w:sz w:val="26"/>
          <w:szCs w:val="26"/>
          <w:lang w:val="ru-RU"/>
        </w:rPr>
        <w:t>непосредственного</w:t>
      </w:r>
      <w:r>
        <w:rPr>
          <w:sz w:val="26"/>
          <w:szCs w:val="26"/>
        </w:rPr>
        <w:t xml:space="preserve"> включения к выходным клеммам </w:t>
      </w:r>
      <w:r>
        <w:rPr>
          <w:sz w:val="26"/>
          <w:szCs w:val="26"/>
          <w:lang w:val="ru-RU"/>
        </w:rPr>
        <w:t>автоматического выключателя</w:t>
      </w:r>
      <w:r>
        <w:rPr>
          <w:sz w:val="26"/>
          <w:szCs w:val="26"/>
        </w:rPr>
        <w:t xml:space="preserve"> в соответствии со схемой, указанной в паспорте применяемого </w:t>
      </w:r>
      <w:r>
        <w:rPr>
          <w:sz w:val="26"/>
          <w:szCs w:val="26"/>
          <w:lang w:val="ru-RU"/>
        </w:rPr>
        <w:t>ВШУ</w:t>
      </w:r>
      <w:r>
        <w:rPr>
          <w:sz w:val="26"/>
          <w:szCs w:val="26"/>
        </w:rPr>
        <w:t>;</w:t>
      </w:r>
    </w:p>
    <w:p>
      <w:pPr>
        <w:pStyle w:val="19"/>
        <w:numPr>
          <w:ilvl w:val="0"/>
          <w:numId w:val="17"/>
        </w:numPr>
        <w:tabs>
          <w:tab w:val="clear" w:pos="709"/>
          <w:tab w:val="left" w:pos="993" w:leader="none"/>
        </w:tabs>
        <w:spacing w:before="0" w:after="0"/>
        <w:ind w:firstLine="737" w:left="0"/>
        <w:contextualSpacing/>
        <w:rPr>
          <w:sz w:val="26"/>
          <w:szCs w:val="26"/>
        </w:rPr>
      </w:pPr>
      <w:r>
        <w:rPr>
          <w:sz w:val="26"/>
          <w:szCs w:val="26"/>
        </w:rPr>
        <w:t>монтаж шкафа учета выполнить по нормам безопасности от поражения электрическим током и возгорания;</w:t>
      </w:r>
    </w:p>
    <w:p>
      <w:pPr>
        <w:pStyle w:val="19"/>
        <w:numPr>
          <w:ilvl w:val="0"/>
          <w:numId w:val="17"/>
        </w:numPr>
        <w:tabs>
          <w:tab w:val="clear" w:pos="709"/>
          <w:tab w:val="left" w:pos="993" w:leader="none"/>
        </w:tabs>
        <w:spacing w:before="0" w:after="0"/>
        <w:ind w:firstLine="737" w:left="0"/>
        <w:contextualSpacing/>
        <w:rPr>
          <w:sz w:val="26"/>
          <w:szCs w:val="26"/>
        </w:rPr>
      </w:pPr>
      <w:r>
        <w:rPr>
          <w:sz w:val="26"/>
          <w:szCs w:val="26"/>
        </w:rPr>
        <w:t>при установке приборов учета</w:t>
      </w:r>
      <w:r>
        <w:rPr>
          <w:sz w:val="26"/>
          <w:szCs w:val="26"/>
          <w:lang w:val="ru-RU"/>
        </w:rPr>
        <w:t xml:space="preserve"> на фасаде здания</w:t>
      </w:r>
      <w:r>
        <w:rPr>
          <w:sz w:val="26"/>
          <w:szCs w:val="26"/>
        </w:rPr>
        <w:t xml:space="preserve"> должны быть выполнены мероприятия по защите от хищения электроэнергии путем замены неизолированного ввода на </w:t>
      </w:r>
      <w:r>
        <w:rPr>
          <w:sz w:val="26"/>
          <w:szCs w:val="26"/>
          <w:lang w:val="ru-RU"/>
        </w:rPr>
        <w:t>самонесущий изолированный провод</w:t>
      </w:r>
      <w:r>
        <w:rPr>
          <w:sz w:val="26"/>
          <w:szCs w:val="26"/>
        </w:rPr>
        <w:t>;</w:t>
      </w:r>
    </w:p>
    <w:p>
      <w:pPr>
        <w:pStyle w:val="19"/>
        <w:numPr>
          <w:ilvl w:val="0"/>
          <w:numId w:val="17"/>
        </w:numPr>
        <w:tabs>
          <w:tab w:val="clear" w:pos="709"/>
          <w:tab w:val="left" w:pos="993" w:leader="none"/>
        </w:tabs>
        <w:spacing w:before="0" w:after="0"/>
        <w:ind w:firstLine="737" w:left="0"/>
        <w:contextualSpacing/>
        <w:rPr>
          <w:sz w:val="26"/>
          <w:szCs w:val="26"/>
          <w:lang w:val="ru-RU"/>
        </w:rPr>
      </w:pPr>
      <w:r>
        <w:rPr>
          <w:sz w:val="26"/>
          <w:szCs w:val="26"/>
          <w:lang w:val="ru-RU"/>
        </w:rPr>
        <w:t>при наличии одного ввода на 2, 3, 4 квартиры, при наличие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отсутствия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кВ;</w:t>
      </w:r>
    </w:p>
    <w:p>
      <w:pPr>
        <w:pStyle w:val="19"/>
        <w:numPr>
          <w:ilvl w:val="0"/>
          <w:numId w:val="17"/>
        </w:numPr>
        <w:tabs>
          <w:tab w:val="clear" w:pos="709"/>
          <w:tab w:val="left" w:pos="993" w:leader="none"/>
        </w:tabs>
        <w:spacing w:before="0" w:after="0"/>
        <w:ind w:firstLine="737" w:left="0"/>
        <w:contextualSpacing/>
        <w:rPr>
          <w:spacing w:val="-5"/>
          <w:sz w:val="26"/>
          <w:szCs w:val="26"/>
        </w:rPr>
      </w:pPr>
      <w:r>
        <w:rPr>
          <w:spacing w:val="-5"/>
          <w:sz w:val="26"/>
          <w:szCs w:val="26"/>
          <w:lang w:val="ru-RU"/>
        </w:rPr>
        <w:t>ПД</w:t>
      </w:r>
      <w:r>
        <w:rPr>
          <w:spacing w:val="-5"/>
          <w:sz w:val="26"/>
          <w:szCs w:val="26"/>
        </w:rPr>
        <w:t xml:space="preserve"> может быть предусмотрена установка </w:t>
      </w:r>
      <w:r>
        <w:rPr>
          <w:spacing w:val="-5"/>
          <w:sz w:val="26"/>
          <w:szCs w:val="26"/>
          <w:lang w:val="ru-RU"/>
        </w:rPr>
        <w:t xml:space="preserve">выносного </w:t>
      </w:r>
      <w:r>
        <w:rPr>
          <w:spacing w:val="-5"/>
          <w:sz w:val="26"/>
          <w:szCs w:val="26"/>
        </w:rPr>
        <w:t>шкафа</w:t>
      </w:r>
      <w:r>
        <w:rPr>
          <w:spacing w:val="-5"/>
          <w:sz w:val="26"/>
          <w:szCs w:val="26"/>
          <w:lang w:val="ru-RU"/>
        </w:rPr>
        <w:t xml:space="preserve"> учета</w:t>
      </w:r>
      <w:r>
        <w:rPr>
          <w:spacing w:val="-5"/>
          <w:sz w:val="26"/>
          <w:szCs w:val="26"/>
        </w:rPr>
        <w:t xml:space="preserve"> на опоре, на высоте не менее 1,7</w:t>
      </w:r>
      <w:r>
        <w:rPr>
          <w:spacing w:val="-5"/>
          <w:sz w:val="26"/>
          <w:szCs w:val="26"/>
          <w:lang w:val="ru-RU"/>
        </w:rPr>
        <w:t xml:space="preserve"> </w:t>
      </w:r>
      <w:r>
        <w:rPr>
          <w:spacing w:val="-5"/>
          <w:sz w:val="26"/>
          <w:szCs w:val="26"/>
        </w:rPr>
        <w:t>м</w:t>
      </w:r>
      <w:r>
        <w:rPr>
          <w:spacing w:val="-5"/>
          <w:sz w:val="26"/>
          <w:szCs w:val="26"/>
          <w:lang w:val="ru-RU"/>
        </w:rPr>
        <w:t>;</w:t>
      </w:r>
    </w:p>
    <w:p>
      <w:pPr>
        <w:pStyle w:val="19"/>
        <w:numPr>
          <w:ilvl w:val="0"/>
          <w:numId w:val="17"/>
        </w:numPr>
        <w:tabs>
          <w:tab w:val="clear" w:pos="709"/>
          <w:tab w:val="left" w:pos="993" w:leader="none"/>
        </w:tabs>
        <w:spacing w:before="0" w:after="0"/>
        <w:ind w:firstLine="737" w:left="0"/>
        <w:contextualSpacing/>
        <w:rPr>
          <w:spacing w:val="-5"/>
          <w:sz w:val="26"/>
          <w:szCs w:val="26"/>
        </w:rPr>
      </w:pPr>
      <w:r>
        <w:rPr>
          <w:spacing w:val="-5"/>
          <w:sz w:val="26"/>
          <w:szCs w:val="26"/>
        </w:rPr>
        <w:t>монтаж оборудования выполнять по нормам безопасности от поражения электрическим током.</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851"/>
        <w:jc w:val="both"/>
        <w:rPr>
          <w:spacing w:val="-5"/>
          <w:sz w:val="26"/>
          <w:szCs w:val="26"/>
        </w:rPr>
      </w:pPr>
      <w:r>
        <w:rPr>
          <w:spacing w:val="-5"/>
          <w:sz w:val="26"/>
          <w:szCs w:val="26"/>
        </w:rPr>
        <w:t>При установке систем учета в электрощитовой МКД или на вводе ВРУ 0,4 кВ:</w:t>
      </w:r>
    </w:p>
    <w:p>
      <w:pPr>
        <w:pStyle w:val="19"/>
        <w:numPr>
          <w:ilvl w:val="0"/>
          <w:numId w:val="17"/>
        </w:numPr>
        <w:tabs>
          <w:tab w:val="clear" w:pos="709"/>
          <w:tab w:val="left" w:pos="993" w:leader="none"/>
        </w:tabs>
        <w:spacing w:before="0" w:after="0"/>
        <w:ind w:firstLine="737" w:left="0"/>
        <w:contextualSpacing/>
        <w:rPr>
          <w:spacing w:val="-5"/>
          <w:sz w:val="26"/>
          <w:szCs w:val="26"/>
        </w:rPr>
      </w:pPr>
      <w:r>
        <w:rPr>
          <w:spacing w:val="-5"/>
          <w:sz w:val="26"/>
          <w:szCs w:val="26"/>
        </w:rPr>
        <w:t xml:space="preserve">прибор учета электрической энергии </w:t>
      </w:r>
      <w:r>
        <w:rPr>
          <w:spacing w:val="-5"/>
          <w:sz w:val="26"/>
          <w:szCs w:val="26"/>
          <w:lang w:val="ru-RU"/>
        </w:rPr>
        <w:t>непосредственного</w:t>
      </w:r>
      <w:r>
        <w:rPr>
          <w:spacing w:val="-5"/>
          <w:sz w:val="26"/>
          <w:szCs w:val="26"/>
        </w:rPr>
        <w:t xml:space="preserve"> включения размещать в запирающемся помещении ВРУ, в случае отсутствия ВРУ, устанавливать в отдельном запирающемся шкафу;</w:t>
      </w:r>
    </w:p>
    <w:p>
      <w:pPr>
        <w:pStyle w:val="19"/>
        <w:numPr>
          <w:ilvl w:val="0"/>
          <w:numId w:val="17"/>
        </w:numPr>
        <w:tabs>
          <w:tab w:val="clear" w:pos="709"/>
          <w:tab w:val="left" w:pos="993" w:leader="none"/>
        </w:tabs>
        <w:spacing w:before="0" w:after="0"/>
        <w:ind w:firstLine="737" w:left="0"/>
        <w:contextualSpacing/>
        <w:rPr>
          <w:spacing w:val="-5"/>
          <w:sz w:val="26"/>
          <w:szCs w:val="26"/>
        </w:rPr>
      </w:pPr>
      <w:r>
        <w:rPr>
          <w:spacing w:val="-5"/>
          <w:sz w:val="26"/>
          <w:szCs w:val="26"/>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w:t>
      </w:r>
      <w:r>
        <w:rPr>
          <w:spacing w:val="-5"/>
          <w:sz w:val="26"/>
          <w:szCs w:val="26"/>
          <w:lang w:val="ru-RU"/>
        </w:rPr>
        <w:t>ПД</w:t>
      </w:r>
      <w:r>
        <w:rPr>
          <w:spacing w:val="-5"/>
          <w:sz w:val="26"/>
          <w:szCs w:val="26"/>
        </w:rPr>
        <w:t>;</w:t>
      </w:r>
    </w:p>
    <w:p>
      <w:pPr>
        <w:pStyle w:val="19"/>
        <w:numPr>
          <w:ilvl w:val="0"/>
          <w:numId w:val="17"/>
        </w:numPr>
        <w:tabs>
          <w:tab w:val="clear" w:pos="709"/>
          <w:tab w:val="left" w:pos="993" w:leader="none"/>
        </w:tabs>
        <w:spacing w:before="0" w:after="0"/>
        <w:ind w:firstLine="737" w:left="0"/>
        <w:contextualSpacing/>
        <w:rPr>
          <w:sz w:val="26"/>
          <w:szCs w:val="26"/>
        </w:rPr>
      </w:pPr>
      <w:r>
        <w:rPr>
          <w:sz w:val="26"/>
          <w:szCs w:val="26"/>
        </w:rPr>
        <w:t>трансформаторы тока должны быть установлены во всех трех фазах;</w:t>
      </w:r>
    </w:p>
    <w:p>
      <w:pPr>
        <w:pStyle w:val="19"/>
        <w:numPr>
          <w:ilvl w:val="0"/>
          <w:numId w:val="17"/>
        </w:numPr>
        <w:tabs>
          <w:tab w:val="clear" w:pos="709"/>
          <w:tab w:val="left" w:pos="993" w:leader="none"/>
        </w:tabs>
        <w:spacing w:before="0" w:after="0"/>
        <w:ind w:firstLine="737" w:left="0"/>
        <w:contextualSpacing/>
        <w:rPr>
          <w:sz w:val="26"/>
          <w:szCs w:val="26"/>
        </w:rPr>
      </w:pPr>
      <w:r>
        <w:rPr>
          <w:sz w:val="26"/>
          <w:szCs w:val="26"/>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pPr>
        <w:pStyle w:val="19"/>
        <w:numPr>
          <w:ilvl w:val="0"/>
          <w:numId w:val="17"/>
        </w:numPr>
        <w:tabs>
          <w:tab w:val="clear" w:pos="709"/>
          <w:tab w:val="left" w:pos="993" w:leader="none"/>
        </w:tabs>
        <w:spacing w:before="0" w:after="0"/>
        <w:ind w:firstLine="737" w:left="0"/>
        <w:contextualSpacing/>
        <w:rPr>
          <w:sz w:val="26"/>
          <w:szCs w:val="26"/>
        </w:rPr>
      </w:pPr>
      <w:r>
        <w:rPr>
          <w:sz w:val="26"/>
          <w:szCs w:val="26"/>
        </w:rPr>
        <w:t>монтаж шкафа выполнять по нормам безопасности от поражения электрическим током и возгорания.</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При установке систем учета электроэнергии, средств автоматизации и связи на ПС / ТП / РУ / КТП:</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трансформаторы тока устанавливать на присоединени</w:t>
      </w:r>
      <w:r>
        <w:rPr>
          <w:sz w:val="26"/>
          <w:szCs w:val="26"/>
          <w:lang w:val="ru-RU"/>
        </w:rPr>
        <w:t>ях</w:t>
      </w:r>
      <w:r>
        <w:rPr>
          <w:sz w:val="26"/>
          <w:szCs w:val="26"/>
        </w:rPr>
        <w:t xml:space="preserve"> в РУ-0,4кВ;</w:t>
      </w:r>
    </w:p>
    <w:p>
      <w:pPr>
        <w:pStyle w:val="19"/>
        <w:widowControl w:val="false"/>
        <w:numPr>
          <w:ilvl w:val="0"/>
          <w:numId w:val="18"/>
        </w:numPr>
        <w:tabs>
          <w:tab w:val="clear" w:pos="709"/>
          <w:tab w:val="left" w:pos="993" w:leader="none"/>
        </w:tabs>
        <w:spacing w:before="0" w:after="0"/>
        <w:ind w:firstLine="680" w:left="0"/>
        <w:contextualSpacing/>
        <w:rPr>
          <w:sz w:val="26"/>
          <w:szCs w:val="26"/>
        </w:rPr>
      </w:pPr>
      <w:r>
        <w:rPr>
          <w:sz w:val="26"/>
          <w:szCs w:val="26"/>
        </w:rPr>
        <w:t>приборы учета, средства автоматизации и связи устанавливать в РУ-0,4</w:t>
      </w:r>
      <w:r>
        <w:rPr>
          <w:sz w:val="26"/>
          <w:szCs w:val="26"/>
          <w:lang w:val="ru-RU"/>
        </w:rPr>
        <w:t> </w:t>
      </w:r>
      <w:r>
        <w:rPr>
          <w:sz w:val="26"/>
          <w:szCs w:val="26"/>
        </w:rPr>
        <w:t>кВ трансформаторных подстанций, допускается установка в запирающихся шкафах наружного исполнения;</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pPr>
        <w:pStyle w:val="19"/>
        <w:numPr>
          <w:ilvl w:val="0"/>
          <w:numId w:val="0"/>
        </w:numPr>
        <w:tabs>
          <w:tab w:val="clear" w:pos="709"/>
          <w:tab w:val="left" w:pos="993" w:leader="none"/>
        </w:tabs>
        <w:spacing w:before="0" w:after="0"/>
        <w:ind w:hanging="0" w:left="0"/>
        <w:contextualSpacing/>
        <w:rPr>
          <w:sz w:val="26"/>
          <w:szCs w:val="26"/>
        </w:rPr>
      </w:pPr>
      <w:r>
        <w:rPr>
          <w:sz w:val="26"/>
          <w:szCs w:val="26"/>
          <w:lang w:val="ru-RU"/>
        </w:rPr>
        <w:tab/>
      </w:r>
      <w:r>
        <w:rPr>
          <w:sz w:val="26"/>
          <w:szCs w:val="26"/>
        </w:rPr>
        <w:t>В РУ-0,4</w:t>
      </w:r>
      <w:r>
        <w:rPr>
          <w:sz w:val="26"/>
          <w:szCs w:val="26"/>
          <w:lang w:val="ru-RU"/>
        </w:rPr>
        <w:t> </w:t>
      </w:r>
      <w:r>
        <w:rPr>
          <w:sz w:val="26"/>
          <w:szCs w:val="26"/>
        </w:rPr>
        <w:t>кВ КТП 6-</w:t>
      </w:r>
      <w:r>
        <w:rPr>
          <w:sz w:val="26"/>
          <w:szCs w:val="26"/>
          <w:lang w:val="ru-RU"/>
        </w:rPr>
        <w:t>2</w:t>
      </w:r>
      <w:r>
        <w:rPr>
          <w:sz w:val="26"/>
          <w:szCs w:val="26"/>
        </w:rPr>
        <w:t>0/0,4</w:t>
      </w:r>
      <w:r>
        <w:rPr>
          <w:sz w:val="26"/>
          <w:szCs w:val="26"/>
          <w:lang w:val="ru-RU"/>
        </w:rPr>
        <w:t> </w:t>
      </w:r>
      <w:r>
        <w:rPr>
          <w:sz w:val="26"/>
          <w:szCs w:val="26"/>
        </w:rPr>
        <w:t>кВ предусмотреть установку аппаратов защиты от атмосферных и коммутационных перенапряжений типа ОПН, в случае отсутствия данного оборудования.</w:t>
      </w:r>
    </w:p>
    <w:p>
      <w:pPr>
        <w:pStyle w:val="19"/>
        <w:numPr>
          <w:ilvl w:val="0"/>
          <w:numId w:val="0"/>
        </w:numPr>
        <w:spacing w:before="0" w:after="0"/>
        <w:ind w:firstLine="709" w:left="0"/>
        <w:contextualSpacing/>
        <w:rPr>
          <w:sz w:val="26"/>
          <w:szCs w:val="26"/>
        </w:rPr>
      </w:pPr>
      <w:r>
        <w:rPr>
          <w:sz w:val="26"/>
          <w:szCs w:val="26"/>
        </w:rPr>
        <w:t xml:space="preserve">По окончании монтажных работ Подрядчик составляет и передает Заказчику монтажные таблицы по форме приложения </w:t>
      </w:r>
      <w:r>
        <w:rPr/>
        <w:t>3</w:t>
      </w:r>
      <w:r>
        <w:rPr>
          <w:sz w:val="26"/>
          <w:szCs w:val="26"/>
        </w:rPr>
        <w:t xml:space="preserve"> к </w:t>
      </w:r>
      <w:r>
        <w:rPr>
          <w:sz w:val="26"/>
          <w:szCs w:val="26"/>
          <w:lang w:val="ru-RU"/>
        </w:rPr>
        <w:t xml:space="preserve">настоящему </w:t>
      </w:r>
      <w:r>
        <w:rPr>
          <w:sz w:val="26"/>
          <w:szCs w:val="26"/>
        </w:rPr>
        <w:t>техническому заданию</w:t>
      </w:r>
      <w:r>
        <w:rPr>
          <w:sz w:val="26"/>
          <w:szCs w:val="26"/>
          <w:lang w:val="ru-RU"/>
        </w:rPr>
        <w:t xml:space="preserve"> для</w:t>
      </w:r>
      <w:r>
        <w:rPr>
          <w:sz w:val="26"/>
          <w:szCs w:val="26"/>
        </w:rPr>
        <w:t xml:space="preserve"> использ</w:t>
      </w:r>
      <w:r>
        <w:rPr>
          <w:sz w:val="26"/>
          <w:szCs w:val="26"/>
          <w:lang w:val="ru-RU"/>
        </w:rPr>
        <w:t>ования</w:t>
      </w:r>
      <w:r>
        <w:rPr>
          <w:sz w:val="26"/>
          <w:szCs w:val="26"/>
        </w:rPr>
        <w:t xml:space="preserve"> их при выполнении пусконаладочных работ.</w:t>
      </w:r>
    </w:p>
    <w:p>
      <w:pPr>
        <w:pStyle w:val="2H2H2212h22RTCiz2"/>
        <w:spacing w:before="0" w:after="0"/>
        <w:ind w:firstLine="709"/>
        <w:rPr>
          <w:rFonts w:ascii="Times New Roman" w:hAnsi="Times New Roman"/>
          <w:sz w:val="26"/>
          <w:szCs w:val="26"/>
          <w:lang w:val="ru-RU"/>
        </w:rPr>
      </w:pPr>
      <w:bookmarkStart w:id="124" w:name="_Toc22938013"/>
      <w:bookmarkStart w:id="125" w:name="_Toc32489371"/>
      <w:bookmarkStart w:id="126" w:name="_Toc32496738"/>
      <w:r>
        <w:rPr>
          <w:rFonts w:ascii="Times New Roman" w:hAnsi="Times New Roman"/>
          <w:sz w:val="26"/>
          <w:szCs w:val="26"/>
        </w:rPr>
        <w:t>4.</w:t>
      </w:r>
      <w:r>
        <w:rPr>
          <w:rFonts w:ascii="Times New Roman" w:hAnsi="Times New Roman"/>
          <w:sz w:val="26"/>
          <w:szCs w:val="26"/>
          <w:lang w:val="ru-RU"/>
        </w:rPr>
        <w:t>6</w:t>
      </w:r>
      <w:r>
        <w:rPr>
          <w:rFonts w:ascii="Times New Roman" w:hAnsi="Times New Roman"/>
          <w:sz w:val="26"/>
          <w:szCs w:val="26"/>
        </w:rPr>
        <w:t>. Требования к каналам</w:t>
      </w:r>
      <w:r>
        <w:rPr>
          <w:rFonts w:ascii="Times New Roman" w:hAnsi="Times New Roman"/>
          <w:sz w:val="26"/>
          <w:szCs w:val="26"/>
          <w:lang w:val="ru-RU"/>
        </w:rPr>
        <w:t xml:space="preserve"> и операторам</w:t>
      </w:r>
      <w:r>
        <w:rPr>
          <w:rFonts w:ascii="Times New Roman" w:hAnsi="Times New Roman"/>
          <w:sz w:val="26"/>
          <w:szCs w:val="26"/>
        </w:rPr>
        <w:t xml:space="preserve"> связи</w:t>
      </w:r>
      <w:bookmarkEnd w:id="124"/>
      <w:bookmarkEnd w:id="125"/>
      <w:bookmarkEnd w:id="126"/>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должна обеспечиваться передача данных с приборов учета электроэнергии (уровня ИИК) на верхний с временной задержкой, не превышающей 12 часов.</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задержка в передаче данных единичного запроса не должна превышать 30 минут;</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передача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Pr>
          <w:sz w:val="26"/>
          <w:szCs w:val="26"/>
          <w:lang w:val="ru-RU"/>
        </w:rPr>
        <w:t> </w:t>
      </w:r>
      <w:r>
        <w:rPr>
          <w:sz w:val="26"/>
          <w:szCs w:val="26"/>
        </w:rPr>
        <w:t>/</w:t>
      </w:r>
      <w:r>
        <w:rPr>
          <w:sz w:val="26"/>
          <w:szCs w:val="26"/>
          <w:lang w:val="ru-RU"/>
        </w:rPr>
        <w:t> </w:t>
      </w:r>
      <w:r>
        <w:rPr>
          <w:sz w:val="26"/>
          <w:szCs w:val="26"/>
        </w:rPr>
        <w:t>LTE</w:t>
      </w:r>
      <w:r>
        <w:rPr>
          <w:sz w:val="26"/>
          <w:szCs w:val="26"/>
          <w:lang w:val="ru-RU"/>
        </w:rPr>
        <w:t>(</w:t>
      </w:r>
      <w:r>
        <w:rPr>
          <w:sz w:val="26"/>
          <w:szCs w:val="26"/>
        </w:rPr>
        <w:t>GPRS</w:t>
      </w:r>
      <w:r>
        <w:rPr>
          <w:sz w:val="26"/>
          <w:szCs w:val="26"/>
          <w:lang w:val="ru-RU"/>
        </w:rPr>
        <w:t>), при этом передачу необходимо</w:t>
      </w:r>
      <w:r>
        <w:rPr>
          <w:sz w:val="26"/>
          <w:szCs w:val="26"/>
        </w:rPr>
        <w:t xml:space="preserve"> осуществлять с  использованием статического IP-адреса с установленным APN  оператора связи  по защищенному каналу (VPN оператора связи). Выбор оператора связи в обязательном порядке согласуется с Заказчиком. SIM-карты приобретаются Исполнителем за свой счет и передаются Заказчику вместе с оборудованием системы учёта при приемке ее в промышленную эксплуатацию;</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Pr>
          <w:sz w:val="26"/>
          <w:szCs w:val="26"/>
          <w:lang w:val="ru-RU"/>
        </w:rPr>
        <w:t>, при выполнении системой учета телемеханических функций – не менее 9600 бит/с</w:t>
      </w:r>
      <w:r>
        <w:rPr>
          <w:sz w:val="26"/>
          <w:szCs w:val="26"/>
        </w:rPr>
        <w:t>;</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 xml:space="preserve">при </w:t>
      </w:r>
      <w:r>
        <w:rPr>
          <w:sz w:val="26"/>
          <w:szCs w:val="26"/>
          <w:lang w:val="ru-RU"/>
        </w:rPr>
        <w:t xml:space="preserve">организации каналов связи с приборами учета  по </w:t>
      </w:r>
      <w:r>
        <w:rPr>
          <w:sz w:val="26"/>
          <w:szCs w:val="26"/>
        </w:rPr>
        <w:t>сети GSM</w:t>
      </w:r>
      <w:r>
        <w:rPr>
          <w:sz w:val="26"/>
          <w:szCs w:val="26"/>
          <w:lang w:val="ru-RU"/>
        </w:rPr>
        <w:t> </w:t>
      </w:r>
      <w:r>
        <w:rPr>
          <w:sz w:val="26"/>
          <w:szCs w:val="26"/>
        </w:rPr>
        <w:t>/</w:t>
      </w:r>
      <w:r>
        <w:rPr>
          <w:sz w:val="26"/>
          <w:szCs w:val="26"/>
          <w:lang w:val="ru-RU"/>
        </w:rPr>
        <w:t> </w:t>
      </w:r>
      <w:r>
        <w:rPr>
          <w:sz w:val="26"/>
          <w:szCs w:val="26"/>
        </w:rPr>
        <w:t>LTE</w:t>
      </w:r>
      <w:r>
        <w:rPr>
          <w:sz w:val="26"/>
          <w:szCs w:val="26"/>
          <w:lang w:val="ru-RU"/>
        </w:rPr>
        <w:t xml:space="preserve"> в базовом режиме</w:t>
      </w:r>
      <w:r>
        <w:rPr>
          <w:sz w:val="26"/>
          <w:szCs w:val="26"/>
        </w:rPr>
        <w:t xml:space="preserve"> должн</w:t>
      </w:r>
      <w:r>
        <w:rPr>
          <w:sz w:val="26"/>
          <w:szCs w:val="26"/>
          <w:lang w:val="ru-RU"/>
        </w:rPr>
        <w:t>а</w:t>
      </w:r>
      <w:r>
        <w:rPr>
          <w:sz w:val="26"/>
          <w:szCs w:val="26"/>
        </w:rPr>
        <w:t xml:space="preserve"> обеспечивать</w:t>
      </w:r>
      <w:r>
        <w:rPr>
          <w:sz w:val="26"/>
          <w:szCs w:val="26"/>
          <w:lang w:val="ru-RU"/>
        </w:rPr>
        <w:t>ся</w:t>
      </w:r>
      <w:r>
        <w:rPr>
          <w:sz w:val="26"/>
          <w:szCs w:val="26"/>
        </w:rPr>
        <w:t xml:space="preserve"> </w:t>
      </w:r>
      <w:r>
        <w:rPr>
          <w:sz w:val="26"/>
          <w:szCs w:val="26"/>
          <w:lang w:val="ru-RU"/>
        </w:rPr>
        <w:t>передача данных по</w:t>
      </w:r>
      <w:r>
        <w:rPr>
          <w:sz w:val="26"/>
          <w:szCs w:val="26"/>
        </w:rPr>
        <w:t xml:space="preserve"> GPRS 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 xml:space="preserve">при использовании  </w:t>
      </w:r>
      <w:r>
        <w:rPr>
          <w:sz w:val="26"/>
          <w:szCs w:val="26"/>
          <w:lang w:val="ru-RU"/>
        </w:rPr>
        <w:t xml:space="preserve">технологий </w:t>
      </w:r>
      <w:r>
        <w:rPr>
          <w:sz w:val="26"/>
          <w:szCs w:val="26"/>
        </w:rPr>
        <w:t>PLC</w:t>
      </w:r>
      <w:r>
        <w:rPr>
          <w:sz w:val="26"/>
          <w:szCs w:val="26"/>
          <w:lang w:val="ru-RU"/>
        </w:rPr>
        <w:t>,</w:t>
      </w:r>
      <w:r>
        <w:rPr>
          <w:sz w:val="26"/>
          <w:szCs w:val="26"/>
        </w:rPr>
        <w:t xml:space="preserve"> RF должн</w:t>
      </w:r>
      <w:r>
        <w:rPr>
          <w:sz w:val="26"/>
          <w:szCs w:val="26"/>
          <w:lang w:val="ru-RU"/>
        </w:rPr>
        <w:t>а</w:t>
      </w:r>
      <w:r>
        <w:rPr>
          <w:sz w:val="26"/>
          <w:szCs w:val="26"/>
        </w:rPr>
        <w:t xml:space="preserve"> обеспечивать</w:t>
      </w:r>
      <w:r>
        <w:rPr>
          <w:sz w:val="26"/>
          <w:szCs w:val="26"/>
          <w:lang w:val="ru-RU"/>
        </w:rPr>
        <w:t>ся</w:t>
      </w:r>
      <w:r>
        <w:rPr>
          <w:sz w:val="26"/>
          <w:szCs w:val="26"/>
        </w:rPr>
        <w:t xml:space="preserve"> работ</w:t>
      </w:r>
      <w:r>
        <w:rPr>
          <w:sz w:val="26"/>
          <w:szCs w:val="26"/>
          <w:lang w:val="ru-RU"/>
        </w:rPr>
        <w:t>а</w:t>
      </w:r>
      <w:r>
        <w:rPr>
          <w:sz w:val="26"/>
          <w:szCs w:val="26"/>
        </w:rPr>
        <w:t xml:space="preserve"> в сетях с автоматической маршрутизацией передаваемых пакетов данных </w:t>
      </w:r>
      <w:r>
        <w:rPr>
          <w:sz w:val="26"/>
          <w:szCs w:val="26"/>
          <w:lang w:val="ru-RU"/>
        </w:rPr>
        <w:t>и ретрансляции данных пр</w:t>
      </w:r>
      <w:r>
        <w:rPr>
          <w:sz w:val="26"/>
          <w:szCs w:val="26"/>
        </w:rPr>
        <w:t>и автоматическом изменении конфигурации сети</w:t>
      </w:r>
      <w:r>
        <w:rPr>
          <w:sz w:val="26"/>
          <w:szCs w:val="26"/>
          <w:lang w:val="ru-RU"/>
        </w:rPr>
        <w:t>.</w:t>
      </w:r>
    </w:p>
    <w:p>
      <w:pPr>
        <w:pStyle w:val="19"/>
        <w:widowControl w:val="false"/>
        <w:numPr>
          <w:ilvl w:val="0"/>
          <w:numId w:val="0"/>
        </w:numPr>
        <w:tabs>
          <w:tab w:val="clear" w:pos="709"/>
          <w:tab w:val="left" w:pos="993" w:leader="none"/>
        </w:tabs>
        <w:spacing w:before="0" w:after="0"/>
        <w:ind w:firstLine="709" w:left="0"/>
        <w:contextualSpacing/>
        <w:rPr>
          <w:sz w:val="26"/>
          <w:szCs w:val="26"/>
        </w:rPr>
      </w:pPr>
      <w:r>
        <w:rPr>
          <w:sz w:val="26"/>
          <w:szCs w:val="26"/>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pPr>
        <w:pStyle w:val="19"/>
        <w:widowControl w:val="false"/>
        <w:numPr>
          <w:ilvl w:val="0"/>
          <w:numId w:val="0"/>
        </w:numPr>
        <w:tabs>
          <w:tab w:val="clear" w:pos="709"/>
          <w:tab w:val="left" w:pos="993" w:leader="none"/>
        </w:tabs>
        <w:spacing w:before="0" w:after="0"/>
        <w:ind w:firstLine="709" w:left="0"/>
        <w:contextualSpacing/>
        <w:rPr>
          <w:sz w:val="26"/>
          <w:szCs w:val="26"/>
          <w:lang w:val="ru-RU"/>
        </w:rPr>
      </w:pPr>
      <w:r>
        <w:rPr>
          <w:sz w:val="26"/>
          <w:szCs w:val="26"/>
          <w:lang w:val="ru-RU"/>
        </w:rPr>
        <w:t>Заказчик определяет следующие требования к операторам связи:</w:t>
      </w:r>
    </w:p>
    <w:p>
      <w:pPr>
        <w:pStyle w:val="19"/>
        <w:widowControl w:val="false"/>
        <w:numPr>
          <w:ilvl w:val="0"/>
          <w:numId w:val="0"/>
        </w:numPr>
        <w:tabs>
          <w:tab w:val="left" w:pos="709" w:leader="none"/>
        </w:tabs>
        <w:ind w:firstLine="709" w:left="0"/>
        <w:rPr>
          <w:sz w:val="26"/>
          <w:szCs w:val="26"/>
        </w:rPr>
      </w:pPr>
      <w:r>
        <w:rPr>
          <w:sz w:val="26"/>
          <w:szCs w:val="26"/>
          <w:lang w:val="ru-RU"/>
        </w:rPr>
        <w:t xml:space="preserve"> </w:t>
      </w:r>
      <w:r>
        <w:rPr>
          <w:sz w:val="26"/>
          <w:szCs w:val="26"/>
        </w:rPr>
        <w:t>- зафиксировать с оператором связи для сети связи топологию «Звезда» (Hub and Spoke);</w:t>
      </w:r>
    </w:p>
    <w:p>
      <w:pPr>
        <w:pStyle w:val="19"/>
        <w:widowControl w:val="false"/>
        <w:numPr>
          <w:ilvl w:val="0"/>
          <w:numId w:val="0"/>
        </w:numPr>
        <w:tabs>
          <w:tab w:val="left" w:pos="709" w:leader="none"/>
        </w:tabs>
        <w:ind w:firstLine="709" w:left="0"/>
        <w:rPr>
          <w:sz w:val="26"/>
          <w:szCs w:val="26"/>
        </w:rPr>
      </w:pPr>
      <w:r>
        <w:rPr>
          <w:sz w:val="26"/>
          <w:szCs w:val="26"/>
        </w:rPr>
        <w:t>- обеспечить изоляцию трафиков модемов от друг друга, а также от публичных сетей;</w:t>
      </w:r>
    </w:p>
    <w:p>
      <w:pPr>
        <w:pStyle w:val="19"/>
        <w:widowControl w:val="false"/>
        <w:numPr>
          <w:ilvl w:val="0"/>
          <w:numId w:val="0"/>
        </w:numPr>
        <w:tabs>
          <w:tab w:val="left" w:pos="709" w:leader="none"/>
        </w:tabs>
        <w:spacing w:before="0" w:after="0"/>
        <w:ind w:firstLine="709" w:left="0"/>
        <w:contextualSpacing/>
        <w:rPr>
          <w:sz w:val="26"/>
          <w:szCs w:val="26"/>
          <w:lang w:val="ru-RU"/>
        </w:rPr>
      </w:pPr>
      <w:r>
        <w:rPr>
          <w:sz w:val="26"/>
          <w:szCs w:val="26"/>
        </w:rPr>
        <w:t>- обеспечить мониторинг извлечения авторизованной SIM карты из модемов для которого она предназначена и информирование Заказчика о факте извлечения</w:t>
      </w:r>
      <w:r>
        <w:rPr>
          <w:sz w:val="26"/>
          <w:szCs w:val="26"/>
          <w:lang w:val="ru-RU"/>
        </w:rPr>
        <w:t>;</w:t>
      </w:r>
    </w:p>
    <w:p>
      <w:pPr>
        <w:pStyle w:val="19"/>
        <w:widowControl w:val="false"/>
        <w:numPr>
          <w:ilvl w:val="0"/>
          <w:numId w:val="0"/>
        </w:numPr>
        <w:tabs>
          <w:tab w:val="left" w:pos="709" w:leader="none"/>
        </w:tabs>
        <w:spacing w:before="0" w:after="0"/>
        <w:ind w:firstLine="709" w:left="0"/>
        <w:contextualSpacing/>
        <w:rPr>
          <w:sz w:val="26"/>
          <w:szCs w:val="26"/>
          <w:lang w:val="ru-RU"/>
        </w:rPr>
      </w:pPr>
      <w:r>
        <w:rPr>
          <w:sz w:val="26"/>
          <w:szCs w:val="26"/>
          <w:lang w:val="ru-RU"/>
        </w:rPr>
        <w:t>-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pPr>
        <w:pStyle w:val="19"/>
        <w:widowControl w:val="false"/>
        <w:numPr>
          <w:ilvl w:val="0"/>
          <w:numId w:val="0"/>
        </w:numPr>
        <w:tabs>
          <w:tab w:val="left" w:pos="709" w:leader="none"/>
        </w:tabs>
        <w:spacing w:before="0" w:after="0"/>
        <w:ind w:firstLine="709" w:left="0"/>
        <w:contextualSpacing/>
        <w:rPr>
          <w:sz w:val="26"/>
          <w:szCs w:val="26"/>
          <w:lang w:val="ru-RU"/>
        </w:rPr>
      </w:pPr>
      <w:r>
        <w:rPr>
          <w:sz w:val="26"/>
          <w:szCs w:val="26"/>
          <w:lang w:val="ru-RU"/>
        </w:rPr>
        <w:t>Заказчик обязан своевременно передавать оператору связи результаты оценки показателей критериев значимости масштаба возможных последствий возникновения компьютерных инцидентов на объектах критической информационной инфраструктуры Заказчика и других сведений, необходимых для присвоения категорий значимости информационно-телекоммуникационной сети</w:t>
      </w:r>
      <w:r>
        <w:rPr>
          <w:rStyle w:val="FootnoteReference"/>
          <w:sz w:val="26"/>
          <w:szCs w:val="26"/>
          <w:lang w:val="ru-RU"/>
        </w:rPr>
        <w:footnoteReference w:id="5"/>
      </w:r>
      <w:r>
        <w:rPr>
          <w:sz w:val="26"/>
          <w:szCs w:val="26"/>
          <w:lang w:val="ru-RU"/>
        </w:rPr>
        <w:t>.</w:t>
      </w:r>
    </w:p>
    <w:p>
      <w:pPr>
        <w:pStyle w:val="2H2H2212h22RTCiz2"/>
        <w:spacing w:before="0" w:after="0"/>
        <w:ind w:firstLine="709"/>
        <w:rPr>
          <w:rFonts w:ascii="Times New Roman" w:hAnsi="Times New Roman"/>
          <w:sz w:val="26"/>
          <w:szCs w:val="26"/>
          <w:lang w:val="ru-RU"/>
        </w:rPr>
      </w:pPr>
      <w:bookmarkStart w:id="127" w:name="_Toc22938014"/>
      <w:bookmarkStart w:id="128" w:name="_Toc32489372"/>
      <w:bookmarkStart w:id="129" w:name="_Toc32496739"/>
      <w:r>
        <w:rPr>
          <w:rFonts w:ascii="Times New Roman" w:hAnsi="Times New Roman"/>
          <w:sz w:val="26"/>
          <w:szCs w:val="26"/>
        </w:rPr>
        <w:t>4.</w:t>
      </w:r>
      <w:r>
        <w:rPr>
          <w:rFonts w:ascii="Times New Roman" w:hAnsi="Times New Roman"/>
          <w:sz w:val="26"/>
          <w:szCs w:val="26"/>
          <w:lang w:val="ru-RU"/>
        </w:rPr>
        <w:t>7</w:t>
      </w:r>
      <w:r>
        <w:rPr>
          <w:rFonts w:ascii="Times New Roman" w:hAnsi="Times New Roman"/>
          <w:sz w:val="26"/>
          <w:szCs w:val="26"/>
        </w:rPr>
        <w:t>. Требования к надежности</w:t>
      </w:r>
      <w:r>
        <w:rPr>
          <w:rFonts w:ascii="Times New Roman" w:hAnsi="Times New Roman"/>
          <w:sz w:val="26"/>
          <w:szCs w:val="26"/>
          <w:lang w:val="ru-RU"/>
        </w:rPr>
        <w:t xml:space="preserve"> и безопасности</w:t>
      </w:r>
      <w:bookmarkEnd w:id="127"/>
      <w:bookmarkEnd w:id="128"/>
      <w:bookmarkEnd w:id="129"/>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Комплекс технических средств системы учета с удаленным сбором данных по показателям надежности должны соответствовать требованиям ГОСТ 27883-88 и требованиям технического регламента Таможенного союза ТС 004/2011 «О безопасности низковольтного оборудования».</w:t>
      </w:r>
    </w:p>
    <w:p>
      <w:pPr>
        <w:pStyle w:val="19"/>
        <w:numPr>
          <w:ilvl w:val="0"/>
          <w:numId w:val="0"/>
        </w:numPr>
        <w:tabs>
          <w:tab w:val="left" w:pos="709" w:leader="none"/>
        </w:tabs>
        <w:spacing w:before="0" w:after="0"/>
        <w:ind w:hanging="0" w:left="0"/>
        <w:contextualSpacing/>
        <w:rPr>
          <w:sz w:val="26"/>
          <w:szCs w:val="26"/>
        </w:rPr>
      </w:pPr>
      <w:r>
        <w:rPr>
          <w:sz w:val="26"/>
          <w:szCs w:val="26"/>
          <w:lang w:val="ru-RU"/>
        </w:rPr>
        <w:tab/>
      </w:r>
      <w:r>
        <w:rPr>
          <w:sz w:val="26"/>
          <w:szCs w:val="26"/>
        </w:rPr>
        <w:t>Система учета</w:t>
      </w:r>
      <w:r>
        <w:rPr>
          <w:sz w:val="26"/>
          <w:szCs w:val="26"/>
          <w:lang w:val="ru-RU"/>
        </w:rPr>
        <w:t xml:space="preserve"> электроэнергии</w:t>
      </w:r>
      <w:r>
        <w:rPr>
          <w:sz w:val="26"/>
          <w:szCs w:val="26"/>
        </w:rPr>
        <w:t xml:space="preserve"> должна удовлетворять требованиям международных и российских нормативных документов по безопасности</w:t>
      </w:r>
      <w:r>
        <w:rPr>
          <w:sz w:val="26"/>
          <w:szCs w:val="26"/>
          <w:lang w:val="ru-RU"/>
        </w:rPr>
        <w:t>.</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Все элементы системы учета должны быть защищены:</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от внезапных отключений напряжения питания аппаратуры;</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от помех и искажений при передаче информации;</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от влияния отклонений температурных параметров, влажности, электромагнитных полей по условиям работы аппаратуры;</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от несанкционированного доступа.</w:t>
      </w:r>
    </w:p>
    <w:p>
      <w:pPr>
        <w:pStyle w:val="19"/>
        <w:numPr>
          <w:ilvl w:val="0"/>
          <w:numId w:val="0"/>
        </w:numPr>
        <w:tabs>
          <w:tab w:val="left" w:pos="709" w:leader="none"/>
        </w:tabs>
        <w:spacing w:before="0" w:after="0"/>
        <w:ind w:hanging="0" w:left="0"/>
        <w:contextualSpacing/>
        <w:rPr>
          <w:sz w:val="26"/>
          <w:szCs w:val="26"/>
        </w:rPr>
      </w:pPr>
      <w:r>
        <w:rPr>
          <w:sz w:val="26"/>
          <w:szCs w:val="26"/>
        </w:rPr>
        <w:ta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разграничены и фиксированы.</w:t>
      </w:r>
    </w:p>
    <w:p>
      <w:pPr>
        <w:pStyle w:val="19"/>
        <w:numPr>
          <w:ilvl w:val="0"/>
          <w:numId w:val="0"/>
        </w:numPr>
        <w:ind w:firstLine="709" w:left="0"/>
        <w:rPr>
          <w:sz w:val="26"/>
          <w:szCs w:val="26"/>
        </w:rPr>
      </w:pPr>
      <w:r>
        <w:rPr>
          <w:sz w:val="26"/>
          <w:szCs w:val="26"/>
          <w:lang w:val="ru-RU"/>
        </w:rPr>
        <w:t>П</w:t>
      </w:r>
      <w:r>
        <w:rPr>
          <w:sz w:val="26"/>
          <w:szCs w:val="26"/>
        </w:rPr>
        <w:t>ередача управляющих воздействий по введению ограничения (возобновления) режима потребления и передача критических событий безопасности (нарушение электронных пломб на корпусе и клеммной крышке, воздействие магнитным полем) посредством беспроводной связи:</w:t>
      </w:r>
    </w:p>
    <w:p>
      <w:pPr>
        <w:pStyle w:val="19"/>
        <w:numPr>
          <w:ilvl w:val="0"/>
          <w:numId w:val="0"/>
        </w:numPr>
        <w:ind w:firstLine="709" w:left="0"/>
        <w:rPr>
          <w:sz w:val="26"/>
          <w:szCs w:val="26"/>
        </w:rPr>
      </w:pPr>
      <w:r>
        <w:rPr>
          <w:sz w:val="26"/>
          <w:szCs w:val="26"/>
        </w:rPr>
        <w:t>- между устройствами (компонентами) интеллектуальной системы учета рекомендуется осуществлять по радиоканалу, организованному в выделенных на разрешительной основе диапазонах радиочастот, разрешенных для использования в соответствии с решениями Государственной комиссии по радиочастотам (далее – ГКРЧ);</w:t>
      </w:r>
    </w:p>
    <w:p>
      <w:pPr>
        <w:pStyle w:val="19"/>
        <w:numPr>
          <w:ilvl w:val="0"/>
          <w:numId w:val="0"/>
        </w:numPr>
        <w:spacing w:before="0" w:after="0"/>
        <w:ind w:firstLine="709" w:left="0"/>
        <w:contextualSpacing/>
        <w:rPr>
          <w:sz w:val="26"/>
          <w:szCs w:val="26"/>
        </w:rPr>
      </w:pPr>
      <w:r>
        <w:rPr>
          <w:sz w:val="26"/>
          <w:szCs w:val="26"/>
        </w:rPr>
        <w:t>- непосредственно между устройством интеллектуальной системы учета и отдельным прибором учета, присоединенным к системе учета, допускается осуществлять по радиоканалу, организованному в выделенных диапазонах частот, использование которых не требует оформления разрешений ГКРЧ.</w:t>
      </w:r>
    </w:p>
    <w:p>
      <w:pPr>
        <w:pStyle w:val="19"/>
        <w:numPr>
          <w:ilvl w:val="0"/>
          <w:numId w:val="0"/>
        </w:numPr>
        <w:spacing w:before="0" w:after="0"/>
        <w:ind w:firstLine="709" w:left="0"/>
        <w:contextualSpacing/>
        <w:rPr>
          <w:sz w:val="26"/>
          <w:szCs w:val="26"/>
          <w:lang w:val="ru-RU"/>
        </w:rPr>
      </w:pPr>
      <w:r>
        <w:rPr>
          <w:sz w:val="26"/>
          <w:szCs w:val="26"/>
          <w:lang w:val="ru-RU"/>
        </w:rPr>
        <w:t>В случае применения на уровне ИВКЭ базовых станций,</w:t>
      </w:r>
      <w:r>
        <w:rPr>
          <w:sz w:val="26"/>
          <w:szCs w:val="26"/>
        </w:rPr>
        <w:t xml:space="preserve"> необходимо в обязательном порядке предусматривать использование базовых станций, которые произведены на территории Российской Федерации и которым присвоен статус телекоммуникационного оборудования российского происхождения, при условии наличия таких устройств в свободном доступе на соответствующем товарном рынке</w:t>
      </w:r>
      <w:r>
        <w:rPr>
          <w:sz w:val="26"/>
          <w:szCs w:val="26"/>
          <w:lang w:val="ru-RU"/>
        </w:rPr>
        <w:t xml:space="preserve"> (ПП РФ от 19.06.2020 № 890).</w:t>
      </w:r>
    </w:p>
    <w:p>
      <w:pPr>
        <w:pStyle w:val="2H2H2212h22RTCiz2"/>
        <w:spacing w:before="0" w:after="0"/>
        <w:ind w:firstLine="709"/>
        <w:rPr>
          <w:rFonts w:ascii="Times New Roman" w:hAnsi="Times New Roman"/>
          <w:sz w:val="26"/>
          <w:szCs w:val="26"/>
        </w:rPr>
      </w:pPr>
      <w:bookmarkStart w:id="130" w:name="_Toc22938015"/>
      <w:bookmarkStart w:id="131" w:name="_Toc32489373"/>
      <w:bookmarkStart w:id="132" w:name="_Toc32496740"/>
      <w:r>
        <w:rPr>
          <w:rFonts w:ascii="Times New Roman" w:hAnsi="Times New Roman"/>
          <w:sz w:val="26"/>
          <w:szCs w:val="26"/>
        </w:rPr>
        <w:t>4.</w:t>
      </w:r>
      <w:r>
        <w:rPr>
          <w:rFonts w:ascii="Times New Roman" w:hAnsi="Times New Roman"/>
          <w:sz w:val="26"/>
          <w:szCs w:val="26"/>
          <w:lang w:val="ru-RU"/>
        </w:rPr>
        <w:t>8</w:t>
      </w:r>
      <w:r>
        <w:rPr>
          <w:rFonts w:ascii="Times New Roman" w:hAnsi="Times New Roman"/>
          <w:sz w:val="26"/>
          <w:szCs w:val="26"/>
        </w:rPr>
        <w:t>. Метрологические и другие требования к оборудованию</w:t>
      </w:r>
      <w:bookmarkEnd w:id="130"/>
      <w:bookmarkEnd w:id="131"/>
      <w:bookmarkEnd w:id="132"/>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Средства измерения входящие в состав системы учета электроэнергии должны иметь:</w:t>
      </w:r>
    </w:p>
    <w:p>
      <w:pPr>
        <w:pStyle w:val="19"/>
        <w:numPr>
          <w:ilvl w:val="0"/>
          <w:numId w:val="19"/>
        </w:numPr>
        <w:tabs>
          <w:tab w:val="clear" w:pos="709"/>
          <w:tab w:val="left" w:pos="993" w:leader="none"/>
        </w:tabs>
        <w:spacing w:before="0" w:after="0"/>
        <w:ind w:firstLine="698" w:left="0"/>
        <w:contextualSpacing/>
        <w:rPr>
          <w:sz w:val="26"/>
          <w:szCs w:val="26"/>
        </w:rPr>
      </w:pPr>
      <w:r>
        <w:rPr>
          <w:sz w:val="26"/>
          <w:szCs w:val="26"/>
        </w:rPr>
        <w:t xml:space="preserve">свидетельство об утверждении типа средств измерений Федерального агентства по техническому регулированию и метрологии </w:t>
      </w:r>
      <w:r>
        <w:rPr>
          <w:sz w:val="26"/>
          <w:szCs w:val="26"/>
          <w:lang w:val="ru-RU"/>
        </w:rPr>
        <w:t xml:space="preserve">(РОССТАНДАРТ) </w:t>
      </w:r>
      <w:r>
        <w:rPr>
          <w:sz w:val="26"/>
          <w:szCs w:val="26"/>
        </w:rPr>
        <w:t>и описание типа средств измерений при вводе в опытную эксплуатацию;</w:t>
      </w:r>
    </w:p>
    <w:p>
      <w:pPr>
        <w:pStyle w:val="19"/>
        <w:numPr>
          <w:ilvl w:val="0"/>
          <w:numId w:val="19"/>
        </w:numPr>
        <w:tabs>
          <w:tab w:val="clear" w:pos="709"/>
          <w:tab w:val="left" w:pos="993" w:leader="none"/>
        </w:tabs>
        <w:spacing w:before="0" w:after="0"/>
        <w:ind w:firstLine="624" w:left="0"/>
        <w:contextualSpacing/>
        <w:rPr>
          <w:sz w:val="26"/>
          <w:szCs w:val="26"/>
        </w:rPr>
      </w:pPr>
      <w:r>
        <w:rPr>
          <w:sz w:val="26"/>
          <w:szCs w:val="26"/>
        </w:rPr>
        <w:t>паспорта</w:t>
      </w:r>
      <w:r>
        <w:rPr>
          <w:sz w:val="26"/>
          <w:szCs w:val="26"/>
          <w:lang w:val="ru-RU"/>
        </w:rPr>
        <w:t xml:space="preserve"> (формуляры)</w:t>
      </w:r>
      <w:r>
        <w:rPr>
          <w:sz w:val="26"/>
          <w:szCs w:val="26"/>
        </w:rPr>
        <w:t xml:space="preserve"> на приборы учета с указанием сроков поверки </w:t>
      </w:r>
      <w:r>
        <w:rPr>
          <w:sz w:val="26"/>
          <w:szCs w:val="26"/>
          <w:lang w:val="ru-RU"/>
        </w:rPr>
        <w:t xml:space="preserve">и с </w:t>
      </w:r>
      <w:r>
        <w:rPr>
          <w:sz w:val="26"/>
          <w:szCs w:val="26"/>
        </w:rPr>
        <w:t>дат</w:t>
      </w:r>
      <w:r>
        <w:rPr>
          <w:sz w:val="26"/>
          <w:szCs w:val="26"/>
          <w:lang w:val="ru-RU"/>
        </w:rPr>
        <w:t>ой</w:t>
      </w:r>
      <w:r>
        <w:rPr>
          <w:sz w:val="26"/>
          <w:szCs w:val="26"/>
        </w:rPr>
        <w:t xml:space="preserve"> поверки не более 6 месяцев на дату поставки;</w:t>
      </w:r>
    </w:p>
    <w:p>
      <w:pPr>
        <w:pStyle w:val="19"/>
        <w:numPr>
          <w:ilvl w:val="0"/>
          <w:numId w:val="19"/>
        </w:numPr>
        <w:tabs>
          <w:tab w:val="clear" w:pos="709"/>
          <w:tab w:val="left" w:pos="993" w:leader="none"/>
        </w:tabs>
        <w:spacing w:before="0" w:after="0"/>
        <w:ind w:firstLine="624" w:left="0"/>
        <w:contextualSpacing/>
        <w:rPr>
          <w:sz w:val="26"/>
          <w:szCs w:val="26"/>
        </w:rPr>
      </w:pPr>
      <w:r>
        <w:rPr>
          <w:sz w:val="26"/>
          <w:szCs w:val="26"/>
        </w:rPr>
        <w:t>руководство по монтажу;</w:t>
      </w:r>
    </w:p>
    <w:p>
      <w:pPr>
        <w:pStyle w:val="19"/>
        <w:numPr>
          <w:ilvl w:val="0"/>
          <w:numId w:val="19"/>
        </w:numPr>
        <w:tabs>
          <w:tab w:val="clear" w:pos="709"/>
          <w:tab w:val="left" w:pos="993" w:leader="none"/>
        </w:tabs>
        <w:spacing w:before="0" w:after="0"/>
        <w:ind w:firstLine="624" w:left="0"/>
        <w:contextualSpacing/>
        <w:rPr>
          <w:sz w:val="26"/>
          <w:szCs w:val="26"/>
        </w:rPr>
      </w:pPr>
      <w:r>
        <w:rPr>
          <w:sz w:val="26"/>
          <w:szCs w:val="26"/>
        </w:rPr>
        <w:t>руководство по эксплуатации;</w:t>
      </w:r>
    </w:p>
    <w:p>
      <w:pPr>
        <w:pStyle w:val="19"/>
        <w:numPr>
          <w:ilvl w:val="0"/>
          <w:numId w:val="19"/>
        </w:numPr>
        <w:tabs>
          <w:tab w:val="clear" w:pos="709"/>
          <w:tab w:val="left" w:pos="993" w:leader="none"/>
        </w:tabs>
        <w:spacing w:before="0" w:after="0"/>
        <w:ind w:firstLine="624" w:left="0"/>
        <w:contextualSpacing/>
        <w:rPr>
          <w:sz w:val="26"/>
          <w:szCs w:val="26"/>
        </w:rPr>
      </w:pPr>
      <w:r>
        <w:rPr>
          <w:sz w:val="26"/>
          <w:szCs w:val="26"/>
        </w:rPr>
        <w:t>руководство пользователя (для программного обеспечения).</w:t>
      </w:r>
    </w:p>
    <w:p>
      <w:pPr>
        <w:pStyle w:val="2H2H2212h22RTCiz2"/>
        <w:spacing w:before="0" w:after="0"/>
        <w:ind w:firstLine="709"/>
        <w:rPr>
          <w:rFonts w:ascii="Times New Roman" w:hAnsi="Times New Roman"/>
          <w:sz w:val="26"/>
          <w:szCs w:val="26"/>
        </w:rPr>
      </w:pPr>
      <w:bookmarkStart w:id="133" w:name="_Toc22938016"/>
      <w:bookmarkStart w:id="134" w:name="_Toc32489374"/>
      <w:bookmarkStart w:id="135" w:name="_Toc32496741"/>
      <w:r>
        <w:rPr>
          <w:rFonts w:ascii="Times New Roman" w:hAnsi="Times New Roman"/>
          <w:sz w:val="26"/>
          <w:szCs w:val="26"/>
        </w:rPr>
        <w:t>4.</w:t>
      </w:r>
      <w:r>
        <w:rPr>
          <w:rFonts w:ascii="Times New Roman" w:hAnsi="Times New Roman"/>
          <w:sz w:val="26"/>
          <w:szCs w:val="26"/>
          <w:lang w:val="ru-RU"/>
        </w:rPr>
        <w:t>9</w:t>
      </w:r>
      <w:r>
        <w:rPr>
          <w:rFonts w:ascii="Times New Roman" w:hAnsi="Times New Roman"/>
          <w:sz w:val="26"/>
          <w:szCs w:val="26"/>
        </w:rPr>
        <w:t>. Требования к электромагнитной совместимости</w:t>
      </w:r>
      <w:bookmarkEnd w:id="133"/>
      <w:bookmarkEnd w:id="134"/>
      <w:bookmarkEnd w:id="135"/>
    </w:p>
    <w:p>
      <w:pPr>
        <w:pStyle w:val="19"/>
        <w:numPr>
          <w:ilvl w:val="0"/>
          <w:numId w:val="0"/>
        </w:numPr>
        <w:spacing w:before="0" w:after="0"/>
        <w:ind w:firstLine="709" w:left="0"/>
        <w:contextualSpacing/>
        <w:rPr>
          <w:sz w:val="26"/>
          <w:szCs w:val="26"/>
        </w:rPr>
      </w:pPr>
      <w:r>
        <w:rPr>
          <w:sz w:val="26"/>
          <w:szCs w:val="26"/>
          <w:lang w:val="ru-RU"/>
        </w:rPr>
        <w:t>У</w:t>
      </w:r>
      <w:r>
        <w:rPr>
          <w:sz w:val="26"/>
          <w:szCs w:val="26"/>
        </w:rPr>
        <w:t>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w:t>
      </w:r>
    </w:p>
    <w:p>
      <w:pPr>
        <w:pStyle w:val="2H2H2212h22RTCiz2"/>
        <w:spacing w:before="0" w:after="0"/>
        <w:ind w:firstLine="709"/>
        <w:jc w:val="both"/>
        <w:rPr>
          <w:rFonts w:ascii="Times New Roman" w:hAnsi="Times New Roman"/>
          <w:sz w:val="26"/>
          <w:szCs w:val="26"/>
          <w:lang w:val="ru-RU"/>
        </w:rPr>
      </w:pPr>
      <w:bookmarkStart w:id="136" w:name="_Toc22938017"/>
      <w:bookmarkStart w:id="137" w:name="_Toc32489375"/>
      <w:bookmarkStart w:id="138" w:name="_Toc32496742"/>
      <w:r>
        <w:rPr>
          <w:rFonts w:ascii="Times New Roman" w:hAnsi="Times New Roman"/>
          <w:sz w:val="26"/>
          <w:szCs w:val="26"/>
        </w:rPr>
        <w:t>4.1</w:t>
      </w:r>
      <w:r>
        <w:rPr>
          <w:rFonts w:ascii="Times New Roman" w:hAnsi="Times New Roman"/>
          <w:sz w:val="26"/>
          <w:szCs w:val="26"/>
          <w:lang w:val="ru-RU"/>
        </w:rPr>
        <w:t>0</w:t>
      </w:r>
      <w:r>
        <w:rPr>
          <w:rFonts w:ascii="Times New Roman" w:hAnsi="Times New Roman"/>
          <w:sz w:val="26"/>
          <w:szCs w:val="26"/>
        </w:rPr>
        <w:t>. Требования по эксплуатации, техническому обслуживанию, ремонту и хранению</w:t>
      </w:r>
      <w:bookmarkEnd w:id="136"/>
      <w:bookmarkEnd w:id="137"/>
      <w:bookmarkEnd w:id="138"/>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технические средства системы учета электроэнергии должны быть обслуживаемыми устройствами;</w:t>
      </w:r>
    </w:p>
    <w:p>
      <w:pPr>
        <w:pStyle w:val="19"/>
        <w:numPr>
          <w:ilvl w:val="0"/>
          <w:numId w:val="18"/>
        </w:numPr>
        <w:tabs>
          <w:tab w:val="clear" w:pos="709"/>
          <w:tab w:val="left" w:pos="993" w:leader="none"/>
        </w:tabs>
        <w:spacing w:before="0" w:after="0"/>
        <w:ind w:firstLine="680" w:left="0"/>
        <w:contextualSpacing/>
        <w:rPr>
          <w:sz w:val="26"/>
          <w:szCs w:val="26"/>
        </w:rPr>
      </w:pPr>
      <w:r>
        <w:rPr>
          <w:sz w:val="26"/>
          <w:szCs w:val="26"/>
        </w:rPr>
        <w:t>условия хранения технических средств системы учета электроэнергии должны отвечать требованиям ГОСТ 15150-69.</w:t>
      </w:r>
    </w:p>
    <w:p>
      <w:pPr>
        <w:pStyle w:val="2H2H2212h22RTCiz2"/>
        <w:spacing w:before="0" w:after="0"/>
        <w:ind w:firstLine="709"/>
        <w:rPr>
          <w:rFonts w:ascii="Times New Roman" w:hAnsi="Times New Roman"/>
          <w:sz w:val="26"/>
          <w:szCs w:val="26"/>
          <w:lang w:val="ru-RU"/>
        </w:rPr>
      </w:pPr>
      <w:r>
        <w:rPr>
          <w:rFonts w:ascii="Times New Roman" w:hAnsi="Times New Roman"/>
          <w:sz w:val="26"/>
          <w:szCs w:val="26"/>
        </w:rPr>
        <w:t>4.1</w:t>
      </w:r>
      <w:r>
        <w:rPr>
          <w:rFonts w:ascii="Times New Roman" w:hAnsi="Times New Roman"/>
          <w:sz w:val="26"/>
          <w:szCs w:val="26"/>
          <w:lang w:val="ru-RU"/>
        </w:rPr>
        <w:t>1</w:t>
      </w:r>
      <w:r>
        <w:rPr>
          <w:rFonts w:ascii="Times New Roman" w:hAnsi="Times New Roman"/>
          <w:sz w:val="26"/>
          <w:szCs w:val="26"/>
        </w:rPr>
        <w:t>. Требования к документированию</w:t>
      </w:r>
    </w:p>
    <w:p>
      <w:pPr>
        <w:pStyle w:val="19"/>
        <w:widowControl w:val="false"/>
        <w:numPr>
          <w:ilvl w:val="0"/>
          <w:numId w:val="0"/>
        </w:numPr>
        <w:tabs>
          <w:tab w:val="clear" w:pos="709"/>
          <w:tab w:val="left" w:pos="993" w:leader="none"/>
        </w:tabs>
        <w:spacing w:before="0" w:after="0"/>
        <w:ind w:firstLine="709" w:left="0"/>
        <w:contextualSpacing/>
        <w:rPr>
          <w:sz w:val="26"/>
          <w:szCs w:val="26"/>
        </w:rPr>
      </w:pPr>
      <w:r>
        <w:rPr>
          <w:sz w:val="26"/>
          <w:szCs w:val="26"/>
          <w:lang w:val="ru-RU"/>
        </w:rPr>
        <w:t>Проектная документация, в том числе рабочая</w:t>
      </w:r>
      <w:r>
        <w:rPr>
          <w:sz w:val="26"/>
          <w:szCs w:val="26"/>
        </w:rPr>
        <w:t xml:space="preserve"> документаци</w:t>
      </w:r>
      <w:r>
        <w:rPr>
          <w:sz w:val="26"/>
          <w:szCs w:val="26"/>
          <w:lang w:val="ru-RU"/>
        </w:rPr>
        <w:t>я должна быть</w:t>
      </w:r>
      <w:r>
        <w:rPr>
          <w:sz w:val="26"/>
          <w:szCs w:val="26"/>
        </w:rPr>
        <w:t xml:space="preserve"> разработа</w:t>
      </w:r>
      <w:r>
        <w:rPr>
          <w:sz w:val="26"/>
          <w:szCs w:val="26"/>
          <w:lang w:val="ru-RU"/>
        </w:rPr>
        <w:t>на</w:t>
      </w:r>
      <w:r>
        <w:rPr>
          <w:sz w:val="26"/>
          <w:szCs w:val="26"/>
        </w:rPr>
        <w:t xml:space="preserve"> в соответствии с ГОСТ 21.1101-20</w:t>
      </w:r>
      <w:r>
        <w:rPr>
          <w:sz w:val="26"/>
          <w:szCs w:val="26"/>
          <w:lang w:val="ru-RU"/>
        </w:rPr>
        <w:t>13</w:t>
      </w:r>
      <w:r>
        <w:rPr>
          <w:sz w:val="26"/>
          <w:szCs w:val="26"/>
        </w:rPr>
        <w:t>, ГОСТ</w:t>
      </w:r>
      <w:r>
        <w:rPr>
          <w:sz w:val="26"/>
          <w:szCs w:val="26"/>
          <w:lang w:val="ru-RU"/>
        </w:rPr>
        <w:t> </w:t>
      </w:r>
      <w:r>
        <w:rPr>
          <w:sz w:val="26"/>
          <w:szCs w:val="26"/>
        </w:rPr>
        <w:t>21.613-2014, ПУЭ, ПТЭ и отвечать требованиям СНИП, государственных норм и правил, действующих на территории Р</w:t>
      </w:r>
      <w:r>
        <w:rPr>
          <w:sz w:val="26"/>
          <w:szCs w:val="26"/>
          <w:lang w:val="ru-RU"/>
        </w:rPr>
        <w:t xml:space="preserve">оссийской </w:t>
      </w:r>
      <w:r>
        <w:rPr>
          <w:sz w:val="26"/>
          <w:szCs w:val="26"/>
        </w:rPr>
        <w:t>Ф</w:t>
      </w:r>
      <w:r>
        <w:rPr>
          <w:sz w:val="26"/>
          <w:szCs w:val="26"/>
          <w:lang w:val="ru-RU"/>
        </w:rPr>
        <w:t>едерации</w:t>
      </w:r>
      <w:r>
        <w:rPr>
          <w:sz w:val="26"/>
          <w:szCs w:val="26"/>
        </w:rPr>
        <w:t>;</w:t>
      </w:r>
    </w:p>
    <w:p>
      <w:pPr>
        <w:pStyle w:val="Normal"/>
        <w:ind w:firstLine="709"/>
        <w:jc w:val="both"/>
        <w:rPr>
          <w:sz w:val="26"/>
          <w:szCs w:val="26"/>
        </w:rPr>
      </w:pPr>
      <w:r>
        <w:rPr>
          <w:sz w:val="26"/>
          <w:szCs w:val="26"/>
        </w:rPr>
        <w:t>Обеспечение безопасности выполнения работ и соблюдение техники безопасности осуществляется согласно:</w:t>
      </w:r>
    </w:p>
    <w:p>
      <w:pPr>
        <w:pStyle w:val="19"/>
        <w:numPr>
          <w:ilvl w:val="0"/>
          <w:numId w:val="0"/>
        </w:numPr>
        <w:spacing w:before="0" w:after="0"/>
        <w:ind w:hanging="0" w:left="0"/>
        <w:contextualSpacing/>
        <w:rPr>
          <w:sz w:val="26"/>
          <w:szCs w:val="26"/>
        </w:rPr>
      </w:pPr>
      <w:r>
        <w:rPr>
          <w:sz w:val="26"/>
          <w:szCs w:val="26"/>
        </w:rPr>
        <w:tab/>
      </w:r>
      <w:r>
        <w:rPr>
          <w:sz w:val="26"/>
          <w:szCs w:val="26"/>
          <w:lang w:val="ru-RU"/>
        </w:rPr>
        <w:t xml:space="preserve">- </w:t>
      </w:r>
      <w:r>
        <w:rPr>
          <w:sz w:val="26"/>
          <w:szCs w:val="26"/>
        </w:rPr>
        <w:t>Правил по охране труда при эксплуатации электроустановок (</w:t>
      </w:r>
      <w:r>
        <w:rPr>
          <w:sz w:val="26"/>
          <w:szCs w:val="26"/>
          <w:lang w:val="ru-RU"/>
        </w:rPr>
        <w:t>п</w:t>
      </w:r>
      <w:r>
        <w:rPr>
          <w:sz w:val="26"/>
          <w:szCs w:val="26"/>
        </w:rPr>
        <w:t>риказ Минтруда и соцзащиты Р</w:t>
      </w:r>
      <w:r>
        <w:rPr>
          <w:sz w:val="26"/>
          <w:szCs w:val="26"/>
          <w:lang w:val="ru-RU"/>
        </w:rPr>
        <w:t xml:space="preserve">оссийской </w:t>
      </w:r>
      <w:r>
        <w:rPr>
          <w:sz w:val="26"/>
          <w:szCs w:val="26"/>
        </w:rPr>
        <w:t>Ф</w:t>
      </w:r>
      <w:r>
        <w:rPr>
          <w:sz w:val="26"/>
          <w:szCs w:val="26"/>
          <w:lang w:val="ru-RU"/>
        </w:rPr>
        <w:t>едерации</w:t>
      </w:r>
      <w:r>
        <w:rPr>
          <w:sz w:val="26"/>
          <w:szCs w:val="26"/>
        </w:rPr>
        <w:t xml:space="preserve"> от 24</w:t>
      </w:r>
      <w:r>
        <w:rPr>
          <w:sz w:val="26"/>
          <w:szCs w:val="26"/>
          <w:lang w:val="ru-RU"/>
        </w:rPr>
        <w:t>.07.</w:t>
      </w:r>
      <w:r>
        <w:rPr>
          <w:sz w:val="26"/>
          <w:szCs w:val="26"/>
        </w:rPr>
        <w:t xml:space="preserve">2013 </w:t>
      </w:r>
      <w:r>
        <w:rPr>
          <w:sz w:val="26"/>
          <w:szCs w:val="26"/>
          <w:lang w:val="ru-RU"/>
        </w:rPr>
        <w:t>№</w:t>
      </w:r>
      <w:r>
        <w:rPr>
          <w:sz w:val="26"/>
          <w:szCs w:val="26"/>
        </w:rPr>
        <w:t>328н);</w:t>
      </w:r>
    </w:p>
    <w:p>
      <w:pPr>
        <w:pStyle w:val="19"/>
        <w:numPr>
          <w:ilvl w:val="0"/>
          <w:numId w:val="0"/>
        </w:numPr>
        <w:spacing w:before="0" w:after="0"/>
        <w:ind w:hanging="0" w:left="0"/>
        <w:contextualSpacing/>
        <w:rPr>
          <w:sz w:val="26"/>
          <w:szCs w:val="26"/>
        </w:rPr>
      </w:pPr>
      <w:r>
        <w:rPr>
          <w:sz w:val="26"/>
          <w:szCs w:val="26"/>
        </w:rPr>
        <w:tab/>
      </w:r>
      <w:r>
        <w:rPr>
          <w:sz w:val="26"/>
          <w:szCs w:val="26"/>
          <w:lang w:val="ru-RU"/>
        </w:rPr>
        <w:t xml:space="preserve">- </w:t>
      </w:r>
      <w:r>
        <w:rPr>
          <w:sz w:val="26"/>
          <w:szCs w:val="26"/>
        </w:rPr>
        <w:t>ПУЭ (действующее издание);</w:t>
      </w:r>
    </w:p>
    <w:p>
      <w:pPr>
        <w:pStyle w:val="19"/>
        <w:numPr>
          <w:ilvl w:val="0"/>
          <w:numId w:val="0"/>
        </w:numPr>
        <w:spacing w:before="0" w:after="0"/>
        <w:ind w:hanging="0" w:left="0"/>
        <w:contextualSpacing/>
        <w:rPr>
          <w:sz w:val="26"/>
          <w:szCs w:val="26"/>
        </w:rPr>
      </w:pPr>
      <w:r>
        <w:rPr>
          <w:sz w:val="26"/>
          <w:szCs w:val="26"/>
        </w:rPr>
        <w:tab/>
      </w:r>
      <w:r>
        <w:rPr>
          <w:sz w:val="26"/>
          <w:szCs w:val="26"/>
          <w:lang w:val="ru-RU"/>
        </w:rPr>
        <w:t xml:space="preserve">- </w:t>
      </w:r>
      <w:r>
        <w:rPr>
          <w:sz w:val="26"/>
          <w:szCs w:val="26"/>
        </w:rPr>
        <w:t>ПТЭ (действующее издание);</w:t>
      </w:r>
    </w:p>
    <w:p>
      <w:pPr>
        <w:pStyle w:val="19"/>
        <w:numPr>
          <w:ilvl w:val="0"/>
          <w:numId w:val="0"/>
        </w:numPr>
        <w:spacing w:before="0" w:after="0"/>
        <w:ind w:hanging="0" w:left="0"/>
        <w:contextualSpacing/>
        <w:rPr>
          <w:sz w:val="26"/>
          <w:szCs w:val="26"/>
        </w:rPr>
      </w:pPr>
      <w:r>
        <w:rPr>
          <w:sz w:val="26"/>
          <w:szCs w:val="26"/>
        </w:rPr>
        <w:tab/>
      </w:r>
      <w:r>
        <w:rPr>
          <w:sz w:val="26"/>
          <w:szCs w:val="26"/>
          <w:lang w:val="ru-RU"/>
        </w:rPr>
        <w:t>- </w:t>
      </w:r>
      <w:r>
        <w:rPr>
          <w:sz w:val="26"/>
          <w:szCs w:val="26"/>
        </w:rPr>
        <w:t xml:space="preserve">СНиП 12-03-2001 </w:t>
      </w:r>
      <w:r>
        <w:rPr>
          <w:sz w:val="26"/>
          <w:szCs w:val="26"/>
          <w:lang w:val="ru-RU"/>
        </w:rPr>
        <w:t>«</w:t>
      </w:r>
      <w:r>
        <w:rPr>
          <w:sz w:val="26"/>
          <w:szCs w:val="26"/>
        </w:rPr>
        <w:t xml:space="preserve">Строительные нормы и правила Российской </w:t>
      </w:r>
      <w:r>
        <w:rPr>
          <w:sz w:val="26"/>
          <w:szCs w:val="26"/>
          <w:lang w:val="ru-RU"/>
        </w:rPr>
        <w:t>Ф</w:t>
      </w:r>
      <w:r>
        <w:rPr>
          <w:sz w:val="26"/>
          <w:szCs w:val="26"/>
        </w:rPr>
        <w:t>едерации. Безопасность труда в строительстве</w:t>
      </w:r>
      <w:r>
        <w:rPr>
          <w:sz w:val="26"/>
          <w:szCs w:val="26"/>
          <w:lang w:val="ru-RU"/>
        </w:rPr>
        <w:t>»</w:t>
      </w:r>
      <w:r>
        <w:rPr>
          <w:sz w:val="26"/>
          <w:szCs w:val="26"/>
        </w:rPr>
        <w:t xml:space="preserve">; </w:t>
      </w:r>
    </w:p>
    <w:p>
      <w:pPr>
        <w:pStyle w:val="19"/>
        <w:numPr>
          <w:ilvl w:val="0"/>
          <w:numId w:val="0"/>
        </w:numPr>
        <w:spacing w:before="0" w:after="0"/>
        <w:ind w:hanging="0" w:left="0"/>
        <w:contextualSpacing/>
        <w:rPr>
          <w:sz w:val="26"/>
          <w:szCs w:val="26"/>
        </w:rPr>
      </w:pPr>
      <w:r>
        <w:rPr>
          <w:sz w:val="26"/>
          <w:szCs w:val="26"/>
        </w:rPr>
        <w:tab/>
      </w:r>
      <w:r>
        <w:rPr>
          <w:sz w:val="26"/>
          <w:szCs w:val="26"/>
          <w:lang w:val="ru-RU"/>
        </w:rPr>
        <w:t>- </w:t>
      </w:r>
      <w:r>
        <w:rPr>
          <w:sz w:val="26"/>
          <w:szCs w:val="26"/>
        </w:rPr>
        <w:t xml:space="preserve">СНиП 12-04-2002 </w:t>
      </w:r>
      <w:r>
        <w:rPr>
          <w:sz w:val="26"/>
          <w:szCs w:val="26"/>
          <w:lang w:val="ru-RU"/>
        </w:rPr>
        <w:t>«</w:t>
      </w:r>
      <w:r>
        <w:rPr>
          <w:sz w:val="26"/>
          <w:szCs w:val="26"/>
        </w:rPr>
        <w:t>Строительные нормы и правила Российской Федерации. Безопасность труда в строительстве. Часть 2. Строительное производство</w:t>
      </w:r>
      <w:r>
        <w:rPr>
          <w:sz w:val="26"/>
          <w:szCs w:val="26"/>
          <w:lang w:val="ru-RU"/>
        </w:rPr>
        <w:t>»</w:t>
      </w:r>
      <w:r>
        <w:rPr>
          <w:sz w:val="26"/>
          <w:szCs w:val="26"/>
        </w:rPr>
        <w:t xml:space="preserve">, </w:t>
      </w:r>
      <w:r>
        <w:rPr>
          <w:sz w:val="26"/>
          <w:szCs w:val="26"/>
        </w:rPr>
        <w:br w:type="textWrapping" w:clear="all"/>
      </w:r>
      <w:r>
        <w:rPr>
          <w:sz w:val="26"/>
          <w:szCs w:val="26"/>
        </w:rPr>
        <w:tab/>
      </w:r>
      <w:r>
        <w:rPr>
          <w:sz w:val="26"/>
          <w:szCs w:val="26"/>
          <w:lang w:val="ru-RU"/>
        </w:rPr>
        <w:t xml:space="preserve">- </w:t>
      </w:r>
      <w:r>
        <w:rPr>
          <w:sz w:val="26"/>
          <w:szCs w:val="26"/>
        </w:rPr>
        <w:t>СНиП 3.05.06-85 «Электротехнические устройства».</w:t>
      </w:r>
    </w:p>
    <w:p>
      <w:pPr>
        <w:pStyle w:val="19"/>
        <w:widowControl w:val="false"/>
        <w:numPr>
          <w:ilvl w:val="0"/>
          <w:numId w:val="0"/>
        </w:numPr>
        <w:tabs>
          <w:tab w:val="clear" w:pos="709"/>
          <w:tab w:val="left" w:pos="993" w:leader="none"/>
        </w:tabs>
        <w:spacing w:before="0" w:after="0"/>
        <w:ind w:firstLine="709" w:left="0"/>
        <w:contextualSpacing/>
        <w:rPr>
          <w:sz w:val="26"/>
          <w:szCs w:val="26"/>
        </w:rPr>
      </w:pPr>
      <w:r>
        <w:rPr>
          <w:sz w:val="26"/>
          <w:szCs w:val="26"/>
          <w:lang w:val="ru-RU"/>
        </w:rPr>
        <w:t>- </w:t>
      </w:r>
      <w:r>
        <w:rPr>
          <w:sz w:val="26"/>
          <w:szCs w:val="26"/>
        </w:rPr>
        <w:t>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pPr>
        <w:pStyle w:val="19"/>
        <w:widowControl w:val="false"/>
        <w:numPr>
          <w:ilvl w:val="0"/>
          <w:numId w:val="0"/>
        </w:numPr>
        <w:tabs>
          <w:tab w:val="clear" w:pos="709"/>
          <w:tab w:val="left" w:pos="993" w:leader="none"/>
        </w:tabs>
        <w:spacing w:before="0" w:after="0"/>
        <w:ind w:firstLine="709" w:left="0"/>
        <w:contextualSpacing/>
        <w:rPr>
          <w:sz w:val="26"/>
          <w:szCs w:val="26"/>
          <w:lang w:val="ru-RU"/>
        </w:rPr>
      </w:pPr>
      <w:r>
        <w:rPr>
          <w:sz w:val="26"/>
          <w:szCs w:val="26"/>
          <w:lang w:val="ru-RU"/>
        </w:rPr>
        <w:t xml:space="preserve">- рабочую и эксплуатационную документации представляется в 1 (одном) экземпляре на сброшюрованном бумажном носителе. Один экземпляр в электронном виде (на CD/DVD или </w:t>
      </w:r>
      <w:r>
        <w:rPr>
          <w:sz w:val="26"/>
          <w:szCs w:val="26"/>
          <w:lang w:val="en-US"/>
        </w:rPr>
        <w:t>USB</w:t>
      </w:r>
      <w:r>
        <w:rPr>
          <w:sz w:val="26"/>
          <w:szCs w:val="26"/>
          <w:lang w:val="ru-RU"/>
        </w:rPr>
        <w:t>), текстовая и графическая части представляются в стандартных форматах, обеспечивающих возможность чтения и редактирования в программных продуктах Windows, MS Office, AutoCAD и Acrobat. Все бумажные экземпляры смет (за исключением энергосервисных договоров) должны быть сброшюрованы. Согласования предоставляются в оригиналах;</w:t>
      </w:r>
    </w:p>
    <w:p>
      <w:pPr>
        <w:pStyle w:val="19"/>
        <w:widowControl w:val="false"/>
        <w:numPr>
          <w:ilvl w:val="0"/>
          <w:numId w:val="0"/>
        </w:numPr>
        <w:tabs>
          <w:tab w:val="clear" w:pos="709"/>
          <w:tab w:val="left" w:pos="993" w:leader="none"/>
        </w:tabs>
        <w:spacing w:before="0" w:after="0"/>
        <w:ind w:firstLine="709" w:left="0"/>
        <w:contextualSpacing/>
        <w:rPr>
          <w:sz w:val="26"/>
          <w:szCs w:val="26"/>
        </w:rPr>
      </w:pPr>
      <w:r>
        <w:rPr>
          <w:sz w:val="26"/>
          <w:szCs w:val="26"/>
          <w:lang w:val="ru-RU"/>
        </w:rPr>
        <w:t>И</w:t>
      </w:r>
      <w:r>
        <w:rPr>
          <w:sz w:val="26"/>
          <w:szCs w:val="26"/>
        </w:rPr>
        <w:t>сполнительн</w:t>
      </w:r>
      <w:r>
        <w:rPr>
          <w:sz w:val="26"/>
          <w:szCs w:val="26"/>
          <w:lang w:val="ru-RU"/>
        </w:rPr>
        <w:t>ая</w:t>
      </w:r>
      <w:r>
        <w:rPr>
          <w:sz w:val="26"/>
          <w:szCs w:val="26"/>
        </w:rPr>
        <w:t xml:space="preserve"> документаци</w:t>
      </w:r>
      <w:r>
        <w:rPr>
          <w:sz w:val="26"/>
          <w:szCs w:val="26"/>
          <w:lang w:val="ru-RU"/>
        </w:rPr>
        <w:t>я представляется</w:t>
      </w:r>
      <w:r>
        <w:rPr>
          <w:sz w:val="26"/>
          <w:szCs w:val="26"/>
        </w:rPr>
        <w:t xml:space="preserve"> в 2-х экземплярах в следующем объеме:</w:t>
      </w:r>
    </w:p>
    <w:p>
      <w:pPr>
        <w:pStyle w:val="Normal"/>
        <w:widowControl w:val="false"/>
        <w:shd w:val="clear" w:color="auto" w:fill="FFFFFF"/>
        <w:tabs>
          <w:tab w:val="clear" w:pos="709"/>
          <w:tab w:val="left" w:pos="993" w:leader="none"/>
        </w:tabs>
        <w:ind w:left="709"/>
        <w:jc w:val="both"/>
        <w:rPr>
          <w:sz w:val="26"/>
          <w:szCs w:val="26"/>
        </w:rPr>
      </w:pPr>
      <w:r>
        <w:rPr>
          <w:sz w:val="26"/>
          <w:szCs w:val="26"/>
        </w:rPr>
        <w:t>- акт о приемке выполненных работ;</w:t>
      </w:r>
    </w:p>
    <w:p>
      <w:pPr>
        <w:pStyle w:val="Normal"/>
        <w:widowControl w:val="false"/>
        <w:shd w:val="clear" w:color="auto" w:fill="FFFFFF"/>
        <w:tabs>
          <w:tab w:val="clear" w:pos="709"/>
          <w:tab w:val="left" w:pos="993" w:leader="none"/>
        </w:tabs>
        <w:ind w:left="709"/>
        <w:jc w:val="both"/>
        <w:rPr>
          <w:sz w:val="26"/>
          <w:szCs w:val="26"/>
        </w:rPr>
      </w:pPr>
      <w:r>
        <w:rPr>
          <w:sz w:val="26"/>
          <w:szCs w:val="26"/>
        </w:rPr>
        <w:t>- ведомость объемов работ;</w:t>
      </w:r>
    </w:p>
    <w:p>
      <w:pPr>
        <w:pStyle w:val="Normal"/>
        <w:widowControl w:val="false"/>
        <w:shd w:val="clear" w:color="auto" w:fill="FFFFFF"/>
        <w:tabs>
          <w:tab w:val="clear" w:pos="709"/>
          <w:tab w:val="left" w:pos="993" w:leader="none"/>
        </w:tabs>
        <w:ind w:left="709"/>
        <w:jc w:val="both"/>
        <w:rPr>
          <w:sz w:val="26"/>
          <w:szCs w:val="26"/>
        </w:rPr>
      </w:pPr>
      <w:r>
        <w:rPr>
          <w:sz w:val="26"/>
          <w:szCs w:val="26"/>
        </w:rPr>
        <w:t>- ведомость материалов;</w:t>
      </w:r>
    </w:p>
    <w:p>
      <w:pPr>
        <w:pStyle w:val="Normal"/>
        <w:widowControl w:val="false"/>
        <w:shd w:val="clear" w:color="auto" w:fill="FFFFFF"/>
        <w:tabs>
          <w:tab w:val="clear" w:pos="709"/>
          <w:tab w:val="left" w:pos="993" w:leader="none"/>
        </w:tabs>
        <w:ind w:firstLine="709"/>
        <w:jc w:val="both"/>
        <w:rPr>
          <w:sz w:val="26"/>
          <w:szCs w:val="26"/>
        </w:rPr>
      </w:pPr>
      <w:r>
        <w:rPr>
          <w:sz w:val="26"/>
          <w:szCs w:val="26"/>
        </w:rPr>
        <w:t>- ведомость оборудования с указанием заводских серийных номеров и мест установки каждой единицы оборудования. Для приборов учета электроэнергии в ведомости дополнительно должны быть указаны пароли для связи с дситацнионным дисплеем (для счетчиков с расщепленной архитектурой (</w:t>
      </w:r>
      <w:r>
        <w:rPr>
          <w:sz w:val="26"/>
          <w:szCs w:val="26"/>
          <w:lang w:val="en-US"/>
        </w:rPr>
        <w:t>split</w:t>
      </w:r>
      <w:r>
        <w:rPr>
          <w:sz w:val="26"/>
          <w:szCs w:val="26"/>
        </w:rPr>
        <w:t xml:space="preserve">-исполнения)) и </w:t>
      </w:r>
      <w:r>
        <w:rPr>
          <w:sz w:val="26"/>
          <w:szCs w:val="26"/>
          <w:lang w:val="en-US"/>
        </w:rPr>
        <w:t>MAC</w:t>
      </w:r>
      <w:r>
        <w:rPr>
          <w:sz w:val="26"/>
          <w:szCs w:val="26"/>
        </w:rPr>
        <w:t>-адрес;</w:t>
      </w:r>
    </w:p>
    <w:p>
      <w:pPr>
        <w:pStyle w:val="Normal"/>
        <w:widowControl w:val="false"/>
        <w:shd w:val="clear" w:color="auto" w:fill="FFFFFF"/>
        <w:tabs>
          <w:tab w:val="clear" w:pos="709"/>
          <w:tab w:val="left" w:pos="993" w:leader="none"/>
        </w:tabs>
        <w:ind w:left="709"/>
        <w:jc w:val="both"/>
        <w:rPr>
          <w:sz w:val="26"/>
          <w:szCs w:val="26"/>
        </w:rPr>
      </w:pPr>
      <w:r>
        <w:rPr>
          <w:sz w:val="26"/>
          <w:szCs w:val="26"/>
        </w:rPr>
        <w:t>- обзорные чертежи.</w:t>
      </w:r>
    </w:p>
    <w:p>
      <w:pPr>
        <w:pStyle w:val="2H2H2212h22RTCiz2"/>
        <w:widowControl w:val="false"/>
        <w:tabs>
          <w:tab w:val="clear" w:pos="709"/>
          <w:tab w:val="left" w:pos="993" w:leader="none"/>
        </w:tabs>
        <w:spacing w:before="0" w:after="0"/>
        <w:ind w:firstLine="709"/>
        <w:rPr>
          <w:rFonts w:ascii="Times New Roman" w:hAnsi="Times New Roman"/>
          <w:sz w:val="26"/>
          <w:szCs w:val="26"/>
          <w:lang w:val="ru-RU"/>
        </w:rPr>
      </w:pPr>
      <w:r>
        <w:rPr>
          <w:rFonts w:ascii="Times New Roman" w:hAnsi="Times New Roman"/>
          <w:sz w:val="26"/>
          <w:szCs w:val="26"/>
        </w:rPr>
        <w:t>4.1</w:t>
      </w:r>
      <w:r>
        <w:rPr>
          <w:rFonts w:ascii="Times New Roman" w:hAnsi="Times New Roman"/>
          <w:sz w:val="26"/>
          <w:szCs w:val="26"/>
          <w:lang w:val="ru-RU"/>
        </w:rPr>
        <w:t>2</w:t>
      </w:r>
      <w:r>
        <w:rPr>
          <w:rFonts w:ascii="Times New Roman" w:hAnsi="Times New Roman"/>
          <w:sz w:val="26"/>
          <w:szCs w:val="26"/>
        </w:rPr>
        <w:t>. Требования к эксплуатационной документации</w:t>
      </w:r>
    </w:p>
    <w:p>
      <w:pPr>
        <w:pStyle w:val="Normal"/>
        <w:widowControl w:val="false"/>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 xml:space="preserve">Эксплуатационная документация на системы учета электроэнергии должна содержать следующую информацию: </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перечень средств измерений в составе информационно-измерительного комплекса с указанием их номинальных параметров и классов точности;</w:t>
      </w:r>
    </w:p>
    <w:p>
      <w:pPr>
        <w:pStyle w:val="19"/>
        <w:numPr>
          <w:ilvl w:val="0"/>
          <w:numId w:val="20"/>
        </w:numPr>
        <w:tabs>
          <w:tab w:val="clear" w:pos="709"/>
          <w:tab w:val="left" w:pos="993" w:leader="none"/>
        </w:tabs>
        <w:spacing w:before="0" w:after="0"/>
        <w:ind w:firstLine="680" w:left="0"/>
        <w:contextualSpacing/>
        <w:rPr>
          <w:sz w:val="26"/>
          <w:szCs w:val="26"/>
        </w:rPr>
      </w:pPr>
      <w:r>
        <w:rPr>
          <w:sz w:val="26"/>
          <w:szCs w:val="26"/>
        </w:rPr>
        <w:t>схема подключения прибора учета электроэнергии и трансформаторов тока;</w:t>
      </w:r>
    </w:p>
    <w:p>
      <w:pPr>
        <w:pStyle w:val="19"/>
        <w:numPr>
          <w:ilvl w:val="0"/>
          <w:numId w:val="20"/>
        </w:numPr>
        <w:tabs>
          <w:tab w:val="clear" w:pos="709"/>
          <w:tab w:val="left" w:pos="993" w:leader="none"/>
        </w:tabs>
        <w:spacing w:before="0" w:after="0"/>
        <w:ind w:firstLine="680" w:left="0"/>
        <w:contextualSpacing/>
        <w:rPr>
          <w:sz w:val="26"/>
          <w:szCs w:val="26"/>
        </w:rPr>
      </w:pPr>
      <w:r>
        <w:rPr>
          <w:sz w:val="26"/>
          <w:szCs w:val="26"/>
        </w:rPr>
        <w:t>паспорта-протоколы;</w:t>
      </w:r>
    </w:p>
    <w:p>
      <w:pPr>
        <w:pStyle w:val="19"/>
        <w:numPr>
          <w:ilvl w:val="0"/>
          <w:numId w:val="20"/>
        </w:numPr>
        <w:tabs>
          <w:tab w:val="clear" w:pos="709"/>
          <w:tab w:val="left" w:pos="993" w:leader="none"/>
        </w:tabs>
        <w:spacing w:before="0" w:after="0"/>
        <w:ind w:firstLine="680" w:left="0"/>
        <w:contextualSpacing/>
        <w:rPr>
          <w:sz w:val="26"/>
          <w:szCs w:val="26"/>
        </w:rPr>
      </w:pPr>
      <w:r>
        <w:rPr>
          <w:sz w:val="26"/>
          <w:szCs w:val="26"/>
        </w:rPr>
        <w:t>паспорта на оборудование системы учета</w:t>
      </w:r>
      <w:r>
        <w:rPr>
          <w:sz w:val="26"/>
          <w:szCs w:val="26"/>
          <w:lang w:val="ru-RU"/>
        </w:rPr>
        <w:t xml:space="preserve"> электроэнергии</w:t>
      </w:r>
      <w:r>
        <w:rPr>
          <w:sz w:val="26"/>
          <w:szCs w:val="26"/>
        </w:rPr>
        <w:t>;</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исходные данные</w:t>
      </w:r>
      <w:r>
        <w:rPr>
          <w:sz w:val="26"/>
          <w:szCs w:val="26"/>
          <w:lang w:val="ru-RU"/>
        </w:rPr>
        <w:t>;</w:t>
      </w:r>
    </w:p>
    <w:p>
      <w:pPr>
        <w:pStyle w:val="19"/>
        <w:numPr>
          <w:ilvl w:val="0"/>
          <w:numId w:val="20"/>
        </w:numPr>
        <w:tabs>
          <w:tab w:val="clear" w:pos="709"/>
          <w:tab w:val="left" w:pos="993" w:leader="none"/>
        </w:tabs>
        <w:spacing w:before="0" w:after="0"/>
        <w:ind w:firstLine="680" w:left="0"/>
        <w:contextualSpacing/>
        <w:rPr>
          <w:sz w:val="26"/>
          <w:szCs w:val="26"/>
        </w:rPr>
      </w:pPr>
      <w:r>
        <w:rPr>
          <w:sz w:val="26"/>
          <w:szCs w:val="26"/>
        </w:rPr>
        <w:t>руководство пользователя на компоненты, входящие в систему учета;</w:t>
      </w:r>
    </w:p>
    <w:p>
      <w:pPr>
        <w:pStyle w:val="19"/>
        <w:numPr>
          <w:ilvl w:val="0"/>
          <w:numId w:val="20"/>
        </w:numPr>
        <w:tabs>
          <w:tab w:val="clear" w:pos="709"/>
          <w:tab w:val="left" w:pos="993" w:leader="none"/>
        </w:tabs>
        <w:spacing w:before="0" w:after="0"/>
        <w:ind w:firstLine="680" w:left="0"/>
        <w:contextualSpacing/>
        <w:rPr>
          <w:sz w:val="26"/>
          <w:szCs w:val="26"/>
        </w:rPr>
      </w:pPr>
      <w:r>
        <w:rPr>
          <w:sz w:val="26"/>
          <w:szCs w:val="26"/>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pPr>
        <w:pStyle w:val="19"/>
        <w:numPr>
          <w:ilvl w:val="0"/>
          <w:numId w:val="20"/>
        </w:numPr>
        <w:tabs>
          <w:tab w:val="clear" w:pos="709"/>
          <w:tab w:val="left" w:pos="993" w:leader="none"/>
        </w:tabs>
        <w:spacing w:before="0" w:after="0"/>
        <w:ind w:firstLine="680" w:left="0"/>
        <w:contextualSpacing/>
        <w:rPr>
          <w:sz w:val="26"/>
          <w:szCs w:val="26"/>
        </w:rPr>
      </w:pPr>
      <w:r>
        <w:rPr>
          <w:sz w:val="26"/>
          <w:szCs w:val="26"/>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pPr>
        <w:pStyle w:val="19"/>
        <w:numPr>
          <w:ilvl w:val="0"/>
          <w:numId w:val="20"/>
        </w:numPr>
        <w:tabs>
          <w:tab w:val="clear" w:pos="709"/>
          <w:tab w:val="left" w:pos="993" w:leader="none"/>
        </w:tabs>
        <w:spacing w:before="0" w:after="0"/>
        <w:ind w:firstLine="680" w:left="0"/>
        <w:contextualSpacing/>
        <w:rPr>
          <w:sz w:val="26"/>
          <w:szCs w:val="26"/>
        </w:rPr>
      </w:pPr>
      <w:r>
        <w:rPr>
          <w:sz w:val="26"/>
          <w:szCs w:val="26"/>
        </w:rPr>
        <w:t>акты выполненных работ по проверке, замене, установке ПУ;</w:t>
      </w:r>
    </w:p>
    <w:p>
      <w:pPr>
        <w:pStyle w:val="19"/>
        <w:widowControl w:val="false"/>
        <w:numPr>
          <w:ilvl w:val="0"/>
          <w:numId w:val="0"/>
        </w:numPr>
        <w:tabs>
          <w:tab w:val="clear" w:pos="709"/>
          <w:tab w:val="left" w:pos="993" w:leader="none"/>
        </w:tabs>
        <w:spacing w:before="0" w:after="0"/>
        <w:ind w:firstLine="709" w:left="0"/>
        <w:contextualSpacing/>
        <w:rPr>
          <w:b/>
          <w:i/>
          <w:i/>
          <w:sz w:val="26"/>
          <w:szCs w:val="26"/>
          <w:lang w:val="ru-RU"/>
        </w:rPr>
      </w:pPr>
      <w:r>
        <w:rPr>
          <w:b/>
          <w:i/>
          <w:sz w:val="26"/>
          <w:szCs w:val="26"/>
        </w:rPr>
        <w:t>4.1</w:t>
      </w:r>
      <w:r>
        <w:rPr>
          <w:b/>
          <w:i/>
          <w:sz w:val="26"/>
          <w:szCs w:val="26"/>
          <w:lang w:val="ru-RU"/>
        </w:rPr>
        <w:t>3</w:t>
      </w:r>
      <w:r>
        <w:rPr>
          <w:b/>
          <w:i/>
          <w:sz w:val="26"/>
          <w:szCs w:val="26"/>
        </w:rPr>
        <w:t>. Требования по эргономике и технической эстетике</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рабочее место оператора АРМ системы учета электроэнергии должно быть организовано в помещении с комфортными условиями;</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прочие эргономические требования системы учета должны удовлетворять требованиям ГОСТ 22269-76, ГОСТ 12.2.032-78, ГОСТ 21958-76.</w:t>
      </w:r>
    </w:p>
    <w:p>
      <w:pPr>
        <w:pStyle w:val="2H2H2212h22RTCiz2"/>
        <w:tabs>
          <w:tab w:val="clear" w:pos="709"/>
          <w:tab w:val="left" w:pos="993" w:leader="none"/>
        </w:tabs>
        <w:spacing w:before="0" w:after="0"/>
        <w:ind w:firstLine="709"/>
        <w:rPr>
          <w:rFonts w:ascii="Times New Roman" w:hAnsi="Times New Roman"/>
          <w:sz w:val="26"/>
          <w:szCs w:val="26"/>
          <w:lang w:val="ru-RU"/>
        </w:rPr>
      </w:pPr>
      <w:r>
        <w:rPr>
          <w:rFonts w:ascii="Times New Roman" w:hAnsi="Times New Roman"/>
          <w:sz w:val="26"/>
          <w:szCs w:val="26"/>
        </w:rPr>
        <w:t>4.1</w:t>
      </w:r>
      <w:r>
        <w:rPr>
          <w:rFonts w:ascii="Times New Roman" w:hAnsi="Times New Roman"/>
          <w:sz w:val="26"/>
          <w:szCs w:val="26"/>
          <w:lang w:val="ru-RU"/>
        </w:rPr>
        <w:t>4</w:t>
      </w:r>
      <w:r>
        <w:rPr>
          <w:rFonts w:ascii="Times New Roman" w:hAnsi="Times New Roman"/>
          <w:sz w:val="26"/>
          <w:szCs w:val="26"/>
        </w:rPr>
        <w:t>. Требования к защите информации от несанкционированного доступа</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Защита от утечки информации должна обеспечиваться в соответствии с действующими нормативно-техническими документами.</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каждого (при необходимости) компонента системы учета электроэнергии;</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pPr>
        <w:pStyle w:val="Normal"/>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Используемые программно-технические средства защиты от несанкционированного доступа должны обеспечивать:</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идентификацию пользователей;</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передачу данных по сети в закодированном (зашифрованном) виде;</w:t>
      </w:r>
    </w:p>
    <w:p>
      <w:pPr>
        <w:pStyle w:val="19"/>
        <w:widowControl w:val="false"/>
        <w:numPr>
          <w:ilvl w:val="0"/>
          <w:numId w:val="20"/>
        </w:numPr>
        <w:tabs>
          <w:tab w:val="clear" w:pos="709"/>
          <w:tab w:val="left" w:pos="993" w:leader="none"/>
        </w:tabs>
        <w:spacing w:before="0" w:after="0"/>
        <w:ind w:firstLine="680" w:left="0"/>
        <w:contextualSpacing/>
        <w:rPr>
          <w:sz w:val="26"/>
          <w:szCs w:val="26"/>
        </w:rPr>
      </w:pPr>
      <w:r>
        <w:rPr>
          <w:sz w:val="26"/>
          <w:szCs w:val="26"/>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pPr>
        <w:pStyle w:val="19"/>
        <w:widowControl w:val="false"/>
        <w:numPr>
          <w:ilvl w:val="0"/>
          <w:numId w:val="0"/>
        </w:numPr>
        <w:tabs>
          <w:tab w:val="clear" w:pos="709"/>
          <w:tab w:val="left" w:pos="993" w:leader="none"/>
        </w:tabs>
        <w:spacing w:before="0" w:after="0"/>
        <w:ind w:firstLine="680" w:left="0"/>
        <w:contextualSpacing/>
        <w:rPr>
          <w:sz w:val="26"/>
          <w:szCs w:val="26"/>
        </w:rPr>
      </w:pPr>
      <w:r>
        <w:rPr>
          <w:sz w:val="26"/>
          <w:szCs w:val="26"/>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pPr>
        <w:pStyle w:val="19"/>
        <w:widowControl w:val="false"/>
        <w:numPr>
          <w:ilvl w:val="0"/>
          <w:numId w:val="0"/>
        </w:numPr>
        <w:tabs>
          <w:tab w:val="clear" w:pos="709"/>
          <w:tab w:val="left" w:pos="993" w:leader="none"/>
        </w:tabs>
        <w:spacing w:before="0" w:after="0"/>
        <w:ind w:firstLine="680" w:left="0"/>
        <w:contextualSpacing/>
        <w:rPr>
          <w:sz w:val="26"/>
          <w:szCs w:val="26"/>
        </w:rPr>
      </w:pPr>
      <w:r>
        <w:rPr>
          <w:sz w:val="26"/>
          <w:szCs w:val="26"/>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pPr>
        <w:pStyle w:val="19"/>
        <w:widowControl w:val="false"/>
        <w:numPr>
          <w:ilvl w:val="0"/>
          <w:numId w:val="0"/>
        </w:numPr>
        <w:tabs>
          <w:tab w:val="clear" w:pos="709"/>
          <w:tab w:val="left" w:pos="993" w:leader="none"/>
        </w:tabs>
        <w:spacing w:before="0" w:after="0"/>
        <w:ind w:firstLine="709" w:left="0"/>
        <w:contextualSpacing/>
        <w:rPr>
          <w:sz w:val="26"/>
          <w:szCs w:val="26"/>
        </w:rPr>
      </w:pPr>
      <w:r>
        <w:rPr>
          <w:sz w:val="26"/>
          <w:szCs w:val="26"/>
          <w:lang w:val="ru-RU"/>
        </w:rPr>
        <w:t xml:space="preserve">- </w:t>
      </w:r>
      <w:r>
        <w:rPr>
          <w:sz w:val="26"/>
          <w:szCs w:val="26"/>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pPr>
        <w:pStyle w:val="19"/>
        <w:widowControl w:val="false"/>
        <w:numPr>
          <w:ilvl w:val="0"/>
          <w:numId w:val="0"/>
        </w:numPr>
        <w:tabs>
          <w:tab w:val="clear" w:pos="709"/>
          <w:tab w:val="left" w:pos="993" w:leader="none"/>
        </w:tabs>
        <w:spacing w:before="0" w:after="0"/>
        <w:ind w:firstLine="709" w:left="0"/>
        <w:contextualSpacing/>
        <w:rPr>
          <w:sz w:val="26"/>
          <w:szCs w:val="26"/>
        </w:rPr>
      </w:pPr>
      <w:r>
        <w:rPr>
          <w:sz w:val="26"/>
          <w:szCs w:val="26"/>
          <w:lang w:val="ru-RU"/>
        </w:rPr>
        <w:t xml:space="preserve">- </w:t>
      </w:r>
      <w:r>
        <w:rPr>
          <w:sz w:val="26"/>
          <w:szCs w:val="26"/>
        </w:rPr>
        <w:t>способы использования ПО (микропрограммного обеспечения);</w:t>
      </w:r>
    </w:p>
    <w:p>
      <w:pPr>
        <w:pStyle w:val="19"/>
        <w:widowControl w:val="false"/>
        <w:numPr>
          <w:ilvl w:val="0"/>
          <w:numId w:val="0"/>
        </w:numPr>
        <w:tabs>
          <w:tab w:val="clear" w:pos="709"/>
          <w:tab w:val="left" w:pos="993" w:leader="none"/>
        </w:tabs>
        <w:spacing w:before="0" w:after="0"/>
        <w:ind w:firstLine="709" w:left="0"/>
        <w:contextualSpacing/>
        <w:rPr>
          <w:sz w:val="26"/>
          <w:szCs w:val="26"/>
        </w:rPr>
      </w:pPr>
      <w:r>
        <w:rPr>
          <w:sz w:val="26"/>
          <w:szCs w:val="26"/>
          <w:lang w:val="ru-RU"/>
        </w:rPr>
        <w:t xml:space="preserve">- </w:t>
      </w:r>
      <w:r>
        <w:rPr>
          <w:sz w:val="26"/>
          <w:szCs w:val="26"/>
        </w:rPr>
        <w:t>срок, на который заключается лицензионный договор (равный сроку действия исключительного права на ПО (микропрограммное обеспечение)</w:t>
      </w:r>
      <w:r>
        <w:rPr>
          <w:rStyle w:val="FootnoteReference"/>
          <w:sz w:val="26"/>
          <w:szCs w:val="26"/>
        </w:rPr>
        <w:footnoteReference w:id="6"/>
      </w:r>
      <w:r>
        <w:rPr>
          <w:sz w:val="26"/>
          <w:szCs w:val="26"/>
        </w:rPr>
        <w:t>;</w:t>
      </w:r>
    </w:p>
    <w:p>
      <w:pPr>
        <w:pStyle w:val="19"/>
        <w:widowControl w:val="false"/>
        <w:numPr>
          <w:ilvl w:val="0"/>
          <w:numId w:val="22"/>
        </w:numPr>
        <w:tabs>
          <w:tab w:val="clear" w:pos="709"/>
          <w:tab w:val="left" w:pos="993" w:leader="none"/>
        </w:tabs>
        <w:spacing w:before="0" w:after="0"/>
        <w:ind w:firstLine="709" w:left="0"/>
        <w:contextualSpacing/>
        <w:rPr>
          <w:sz w:val="26"/>
          <w:szCs w:val="26"/>
        </w:rPr>
      </w:pPr>
      <w:r>
        <w:rPr>
          <w:sz w:val="26"/>
          <w:szCs w:val="26"/>
        </w:rPr>
        <w:t>отсутствие ограничений на использование ПО, в том числе на декомпиляцию кода в случаях разбора конфликтных ситуаций;</w:t>
      </w:r>
    </w:p>
    <w:p>
      <w:pPr>
        <w:pStyle w:val="19"/>
        <w:widowControl w:val="false"/>
        <w:numPr>
          <w:ilvl w:val="0"/>
          <w:numId w:val="22"/>
        </w:numPr>
        <w:tabs>
          <w:tab w:val="clear" w:pos="709"/>
          <w:tab w:val="left" w:pos="993" w:leader="none"/>
        </w:tabs>
        <w:spacing w:before="0" w:after="0"/>
        <w:ind w:firstLine="709" w:left="0"/>
        <w:contextualSpacing/>
        <w:rPr>
          <w:sz w:val="26"/>
          <w:szCs w:val="26"/>
        </w:rPr>
      </w:pPr>
      <w:r>
        <w:rPr>
          <w:sz w:val="26"/>
          <w:szCs w:val="26"/>
        </w:rPr>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w:t>
      </w:r>
      <w:r>
        <w:rPr/>
        <w:t>е не менее</w:t>
      </w:r>
      <w:r>
        <w:rPr>
          <w:sz w:val="26"/>
          <w:szCs w:val="26"/>
        </w:rPr>
        <w:t xml:space="preserve"> 15 лет на этапе его эксплуатации;</w:t>
      </w:r>
    </w:p>
    <w:p>
      <w:pPr>
        <w:pStyle w:val="19"/>
        <w:widowControl w:val="false"/>
        <w:numPr>
          <w:ilvl w:val="0"/>
          <w:numId w:val="22"/>
        </w:numPr>
        <w:tabs>
          <w:tab w:val="clear" w:pos="709"/>
          <w:tab w:val="left" w:pos="993" w:leader="none"/>
        </w:tabs>
        <w:spacing w:before="0" w:after="0"/>
        <w:ind w:firstLine="709" w:left="0"/>
        <w:contextualSpacing/>
        <w:rPr>
          <w:sz w:val="26"/>
          <w:szCs w:val="26"/>
          <w:lang w:val="ru-RU"/>
        </w:rPr>
      </w:pPr>
      <w:r>
        <w:rPr>
          <w:sz w:val="26"/>
          <w:szCs w:val="26"/>
          <w:lang w:val="ru-RU"/>
        </w:rPr>
        <w:t>срок устранения уязвимостей в составе ПО</w:t>
      </w:r>
      <w:r>
        <w:rPr>
          <w:sz w:val="26"/>
          <w:szCs w:val="26"/>
          <w:lang w:val="ru-RU" w:eastAsia="ru-RU" w:bidi="ar-SA"/>
        </w:rPr>
        <w:t xml:space="preserve"> </w:t>
      </w:r>
      <w:r>
        <w:rPr>
          <w:sz w:val="26"/>
          <w:szCs w:val="26"/>
          <w:lang w:val="ru-RU"/>
        </w:rPr>
        <w:t>с момента обнаружения – 1 месяц;</w:t>
      </w:r>
    </w:p>
    <w:p>
      <w:pPr>
        <w:pStyle w:val="19"/>
        <w:widowControl w:val="false"/>
        <w:numPr>
          <w:ilvl w:val="0"/>
          <w:numId w:val="22"/>
        </w:numPr>
        <w:tabs>
          <w:tab w:val="clear" w:pos="709"/>
          <w:tab w:val="left" w:pos="993" w:leader="none"/>
        </w:tabs>
        <w:spacing w:before="0" w:after="0"/>
        <w:ind w:firstLine="709" w:left="0"/>
        <w:contextualSpacing/>
        <w:rPr>
          <w:sz w:val="26"/>
          <w:szCs w:val="26"/>
          <w:lang w:val="ru-RU"/>
        </w:rPr>
      </w:pPr>
      <w:r>
        <w:rPr>
          <w:sz w:val="26"/>
          <w:szCs w:val="26"/>
          <w:lang w:val="ru-RU"/>
        </w:rPr>
        <w:t>сохранение условий лицензионного договора (соглашения) при переходе прав обладания ПО третьим лицам.</w:t>
      </w:r>
    </w:p>
    <w:p>
      <w:pPr>
        <w:pStyle w:val="19"/>
        <w:widowControl w:val="false"/>
        <w:numPr>
          <w:ilvl w:val="0"/>
          <w:numId w:val="0"/>
        </w:numPr>
        <w:tabs>
          <w:tab w:val="clear" w:pos="709"/>
          <w:tab w:val="left" w:pos="993" w:leader="none"/>
        </w:tabs>
        <w:spacing w:before="120" w:after="0"/>
        <w:ind w:firstLine="709" w:left="0"/>
        <w:contextualSpacing/>
        <w:rPr>
          <w:sz w:val="26"/>
          <w:szCs w:val="26"/>
          <w:lang w:val="ru-RU"/>
        </w:rPr>
      </w:pPr>
      <w:r>
        <w:rPr>
          <w:sz w:val="26"/>
          <w:szCs w:val="26"/>
          <w:lang w:val="ru-RU"/>
        </w:rPr>
        <w:t>Передача от Подрядчика к Заказчику ПО (микропрограммного обеспечения) приборов учета и УСПД выполняется безвозмездно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pPr>
        <w:pStyle w:val="2H2H2212h22RTCiz2"/>
        <w:spacing w:before="0" w:after="0"/>
        <w:ind w:firstLine="709"/>
        <w:rPr>
          <w:rFonts w:ascii="Times New Roman" w:hAnsi="Times New Roman"/>
          <w:sz w:val="26"/>
          <w:szCs w:val="26"/>
          <w:lang w:val="ru-RU"/>
        </w:rPr>
      </w:pPr>
      <w:r>
        <w:rPr>
          <w:rFonts w:ascii="Times New Roman" w:hAnsi="Times New Roman"/>
          <w:sz w:val="26"/>
          <w:szCs w:val="26"/>
        </w:rPr>
        <w:t>4.1</w:t>
      </w:r>
      <w:r>
        <w:rPr>
          <w:rFonts w:ascii="Times New Roman" w:hAnsi="Times New Roman"/>
          <w:sz w:val="26"/>
          <w:szCs w:val="26"/>
          <w:lang w:val="ru-RU"/>
        </w:rPr>
        <w:t>5</w:t>
      </w:r>
      <w:r>
        <w:rPr>
          <w:rFonts w:ascii="Times New Roman" w:hAnsi="Times New Roman"/>
          <w:sz w:val="26"/>
          <w:szCs w:val="26"/>
        </w:rPr>
        <w:t>. Требования к информационному обмену между уровнями системы</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К средствам коммуникаций между устанавливаемыми компонентами систем учета электроэнергии предъявляются следующие требования:</w:t>
      </w:r>
    </w:p>
    <w:p>
      <w:pPr>
        <w:pStyle w:val="19"/>
        <w:widowControl w:val="false"/>
        <w:numPr>
          <w:ilvl w:val="0"/>
          <w:numId w:val="21"/>
        </w:numPr>
        <w:tabs>
          <w:tab w:val="clear" w:pos="709"/>
          <w:tab w:val="left" w:pos="993" w:leader="none"/>
        </w:tabs>
        <w:spacing w:before="0" w:after="0"/>
        <w:ind w:firstLine="709" w:left="0"/>
        <w:contextualSpacing/>
        <w:rPr>
          <w:sz w:val="26"/>
          <w:szCs w:val="26"/>
        </w:rPr>
      </w:pPr>
      <w:r>
        <w:rPr>
          <w:sz w:val="26"/>
          <w:szCs w:val="26"/>
          <w:lang w:val="ru-RU"/>
        </w:rPr>
        <w:t>поддержка протокола обмена данными с приборами учета в соответствии со спецификацией СПОДЭС;</w:t>
      </w:r>
    </w:p>
    <w:p>
      <w:pPr>
        <w:pStyle w:val="19"/>
        <w:widowControl w:val="false"/>
        <w:numPr>
          <w:ilvl w:val="0"/>
          <w:numId w:val="21"/>
        </w:numPr>
        <w:tabs>
          <w:tab w:val="clear" w:pos="709"/>
          <w:tab w:val="left" w:pos="993" w:leader="none"/>
        </w:tabs>
        <w:spacing w:before="0" w:after="0"/>
        <w:ind w:firstLine="709" w:left="0"/>
        <w:contextualSpacing/>
        <w:rPr>
          <w:sz w:val="26"/>
          <w:szCs w:val="26"/>
          <w:lang w:val="ru-RU"/>
        </w:rPr>
      </w:pPr>
      <w:r>
        <w:rPr>
          <w:sz w:val="26"/>
          <w:szCs w:val="26"/>
          <w:lang w:val="ru-RU"/>
        </w:rPr>
        <w:t xml:space="preserve">поддержка международных стандартных протоколов серий ГОСТ Р МЭК 61850 (при необходимости ГОСТ Р МЭК 60870-5-104), Fieldbus (Profibus, Modbus) </w:t>
      </w:r>
      <w:r>
        <w:rPr>
          <w:sz w:val="26"/>
          <w:szCs w:val="26"/>
          <w:lang w:val="ru-RU"/>
        </w:rPr>
        <w:br w:type="textWrapping" w:clear="all"/>
      </w:r>
      <w:r>
        <w:rPr>
          <w:sz w:val="26"/>
          <w:szCs w:val="26"/>
          <w:lang w:val="ru-RU"/>
        </w:rPr>
        <w:t>и др. (перечень необходимых интерфейсов и протоколов определяется на стадии проектирования);</w:t>
      </w:r>
    </w:p>
    <w:p>
      <w:pPr>
        <w:pStyle w:val="19"/>
        <w:widowControl w:val="false"/>
        <w:numPr>
          <w:ilvl w:val="0"/>
          <w:numId w:val="21"/>
        </w:numPr>
        <w:tabs>
          <w:tab w:val="clear" w:pos="709"/>
          <w:tab w:val="left" w:pos="993" w:leader="none"/>
        </w:tabs>
        <w:spacing w:before="0" w:after="0"/>
        <w:ind w:firstLine="709" w:left="0"/>
        <w:contextualSpacing/>
        <w:rPr>
          <w:sz w:val="26"/>
          <w:szCs w:val="26"/>
        </w:rPr>
      </w:pPr>
      <w:r>
        <w:rPr>
          <w:sz w:val="26"/>
          <w:szCs w:val="26"/>
          <w:lang w:val="ru-RU"/>
        </w:rPr>
        <w:t>обеспечение синхронизации компонентов системы с местным временем;</w:t>
      </w:r>
    </w:p>
    <w:p>
      <w:pPr>
        <w:pStyle w:val="19"/>
        <w:widowControl w:val="false"/>
        <w:numPr>
          <w:ilvl w:val="0"/>
          <w:numId w:val="21"/>
        </w:numPr>
        <w:tabs>
          <w:tab w:val="clear" w:pos="709"/>
          <w:tab w:val="left" w:pos="993" w:leader="none"/>
        </w:tabs>
        <w:spacing w:before="0" w:after="0"/>
        <w:ind w:firstLine="709" w:left="0"/>
        <w:contextualSpacing/>
        <w:rPr>
          <w:sz w:val="26"/>
          <w:szCs w:val="26"/>
          <w:lang w:val="ru-RU"/>
        </w:rPr>
      </w:pPr>
      <w:r>
        <w:rPr>
          <w:sz w:val="26"/>
          <w:szCs w:val="26"/>
          <w:lang w:val="ru-RU"/>
        </w:rPr>
        <w:t>формирование служебной информации (результаты внутренней самодиагностики, синхронизации и т.п.).</w:t>
      </w:r>
    </w:p>
    <w:p>
      <w:pPr>
        <w:pStyle w:val="19"/>
        <w:numPr>
          <w:ilvl w:val="0"/>
          <w:numId w:val="0"/>
        </w:numPr>
        <w:spacing w:before="0" w:after="0"/>
        <w:ind w:firstLine="709" w:left="0"/>
        <w:contextualSpacing/>
        <w:rPr>
          <w:sz w:val="26"/>
          <w:szCs w:val="26"/>
          <w:lang w:val="ru-RU"/>
        </w:rPr>
      </w:pPr>
      <w:r>
        <w:rPr>
          <w:sz w:val="26"/>
          <w:szCs w:val="26"/>
          <w:lang w:val="ru-RU"/>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pPr>
        <w:pStyle w:val="19"/>
        <w:numPr>
          <w:ilvl w:val="0"/>
          <w:numId w:val="0"/>
        </w:numPr>
        <w:spacing w:before="0" w:after="0"/>
        <w:ind w:firstLine="709" w:left="0"/>
        <w:contextualSpacing/>
        <w:rPr>
          <w:sz w:val="26"/>
          <w:szCs w:val="26"/>
        </w:rPr>
      </w:pPr>
      <w:r>
        <w:rPr>
          <w:sz w:val="26"/>
          <w:szCs w:val="26"/>
          <w:lang w:val="ru-RU"/>
        </w:rPr>
        <w:t xml:space="preserve">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 (в рамках нетарифных договоров) или интеграция ранее установленных приборов учета электроэнергии в ИВК ВУ </w:t>
      </w:r>
      <w:r>
        <w:rPr>
          <w:iCs/>
          <w:sz w:val="26"/>
          <w:szCs w:val="26"/>
          <w:lang w:val="ru-RU"/>
        </w:rPr>
        <w:t>без применения промежуточного программного обеспечения</w:t>
      </w:r>
      <w:r>
        <w:rPr>
          <w:sz w:val="26"/>
          <w:szCs w:val="26"/>
          <w:lang w:val="ru-RU"/>
        </w:rPr>
        <w:t>.</w:t>
      </w:r>
    </w:p>
    <w:p>
      <w:pPr>
        <w:pStyle w:val="2H2H2212h22RTCiz2"/>
        <w:spacing w:before="0" w:after="0"/>
        <w:ind w:firstLine="709"/>
        <w:rPr>
          <w:rFonts w:ascii="Times New Roman" w:hAnsi="Times New Roman"/>
          <w:sz w:val="26"/>
          <w:szCs w:val="26"/>
          <w:lang w:val="ru-RU"/>
        </w:rPr>
      </w:pPr>
      <w:r>
        <w:rPr>
          <w:rFonts w:ascii="Times New Roman" w:hAnsi="Times New Roman"/>
          <w:sz w:val="26"/>
          <w:szCs w:val="26"/>
        </w:rPr>
        <w:t>4.</w:t>
      </w:r>
      <w:r>
        <w:rPr>
          <w:rFonts w:ascii="Times New Roman" w:hAnsi="Times New Roman"/>
          <w:sz w:val="26"/>
          <w:szCs w:val="26"/>
          <w:lang w:val="ru-RU"/>
        </w:rPr>
        <w:t>16</w:t>
      </w:r>
      <w:r>
        <w:rPr>
          <w:rFonts w:ascii="Times New Roman" w:hAnsi="Times New Roman"/>
          <w:sz w:val="26"/>
          <w:szCs w:val="26"/>
        </w:rPr>
        <w:t>. Требования к проведению опытной эксплуатации</w:t>
      </w:r>
    </w:p>
    <w:p>
      <w:pPr>
        <w:pStyle w:val="38"/>
        <w:ind w:firstLine="709"/>
        <w:rPr>
          <w:sz w:val="26"/>
          <w:szCs w:val="26"/>
        </w:rPr>
      </w:pPr>
      <w:r>
        <w:rPr>
          <w:sz w:val="26"/>
          <w:szCs w:val="26"/>
        </w:rPr>
        <w:t>Начало опытной эксплуатации устанавливается после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pPr>
        <w:pStyle w:val="38"/>
        <w:ind w:firstLine="709"/>
        <w:rPr>
          <w:sz w:val="26"/>
          <w:szCs w:val="26"/>
        </w:rPr>
      </w:pPr>
      <w:r>
        <w:rPr>
          <w:sz w:val="26"/>
          <w:szCs w:val="26"/>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w:t>
      </w:r>
      <w:r>
        <w:rPr>
          <w:sz w:val="26"/>
          <w:szCs w:val="26"/>
        </w:rPr>
        <w:br w:type="textWrapping" w:clear="all"/>
      </w:r>
      <w:r>
        <w:rPr>
          <w:sz w:val="26"/>
          <w:szCs w:val="26"/>
        </w:rPr>
        <w:t xml:space="preserve">к участию в выполнении всех автоматизированных функций, и составлять не менее 1 месяца и не более 3 месяцев. </w:t>
      </w:r>
    </w:p>
    <w:p>
      <w:pPr>
        <w:pStyle w:val="38"/>
        <w:ind w:firstLine="709"/>
        <w:rPr>
          <w:sz w:val="26"/>
          <w:szCs w:val="26"/>
        </w:rPr>
      </w:pPr>
      <w:r>
        <w:rPr>
          <w:sz w:val="26"/>
          <w:szCs w:val="26"/>
        </w:rPr>
        <w:t>В случае подтверждения двухсторонним актом Заказчика и Подрядчика фактов внешнего воздействия на приборы учета или УСПД,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pPr>
        <w:pStyle w:val="38"/>
        <w:ind w:firstLine="709"/>
        <w:rPr>
          <w:spacing w:val="-5"/>
          <w:sz w:val="26"/>
          <w:szCs w:val="26"/>
        </w:rPr>
      </w:pPr>
      <w:r>
        <w:rPr>
          <w:spacing w:val="-5"/>
          <w:sz w:val="26"/>
          <w:szCs w:val="26"/>
        </w:rPr>
        <w:t>В случае конструктивной неисправности приборов учета и УСПД,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установленных приборов учета по результатам прошедших суток, 98% приборов учета за прошедшую неделю, 99% приборов учета за прошедший месяц, за исключением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Критерии успешного прохождения опытной эксплуатации по одному или нескольким интерфейсам (без учета состояния каналов связи):</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rPr>
        <w:t xml:space="preserve">автоматический </w:t>
      </w:r>
      <w:r>
        <w:rPr>
          <w:sz w:val="26"/>
          <w:szCs w:val="26"/>
          <w:lang w:val="ru-RU"/>
        </w:rPr>
        <w:t>еженедельный</w:t>
      </w:r>
      <w:r>
        <w:rPr>
          <w:sz w:val="26"/>
          <w:szCs w:val="26"/>
        </w:rPr>
        <w:t xml:space="preserve"> сбор значений накопленной с начала месяца энергии </w:t>
      </w:r>
      <w:r>
        <w:rPr>
          <w:sz w:val="26"/>
          <w:szCs w:val="26"/>
          <w:lang w:val="ru-RU"/>
        </w:rPr>
        <w:t>суммарно и раздельно по всем тарифам - не более 1% случаев неудачных опросов;</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 xml:space="preserve">автоматический сбор значений активной мощности, усредненной за прошедший 60 минутный интервал - не более 1% случаев неудачных опросов </w:t>
      </w:r>
      <w:r>
        <w:rPr>
          <w:sz w:val="26"/>
          <w:szCs w:val="26"/>
          <w:lang w:val="ru-RU"/>
        </w:rPr>
        <w:br w:type="textWrapping" w:clear="all"/>
      </w:r>
      <w:r>
        <w:rPr>
          <w:sz w:val="26"/>
          <w:szCs w:val="26"/>
          <w:lang w:val="ru-RU"/>
        </w:rPr>
        <w:t>в течение месяца;</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автоматический сбор записей журналов событий приборов учета и УСПД - не более 1% случаев неудачных опросов в течении 7 (семи) календарных дней;</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rPr>
        <w:t>автоматический и по запросу сбор в ИВК ВУ мгновенных значений с приборов учета (при двухуровневой системе учета) и с УСПД (в случае применения уровня ИВКЭ) - не более 1% случаев неудачных опросов</w:t>
      </w:r>
      <w:r>
        <w:rPr>
          <w:sz w:val="26"/>
          <w:szCs w:val="26"/>
          <w:lang w:val="ru-RU"/>
        </w:rPr>
        <w:t>;</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удаленное (с рабочего места оператора) управление (ограничение, отключение/включение)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для договоров подряда «под ключ» с использованием нетарифных источников финансирования -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сформированная в ИВК ВУ схема балансирования объектов, отображение реального значения фактического и допустимого небаланса по энергообъекту;</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удаленное (с рабочего места оператора) параметрирование приборов учета и их групп (в том числе установка тарифного расписания приборов учета) - не более 1% случаев неудачных действий (без учета состояния каналов связи) за период опытной эксплуатации;</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 xml:space="preserve">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w:t>
        <w:tab/>
        <w:t>– не более 1% от общего количества узлов, входящих в ее состав (серверы, приборы учета, оборудование связи) за период опытной эксплуатации;</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 xml:space="preserve">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1%; </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среднее время устранения причины инцидента (сбоя) с момента возникновения инцидента (не более 4 часов);</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pPr>
        <w:pStyle w:val="19"/>
        <w:widowControl w:val="false"/>
        <w:numPr>
          <w:ilvl w:val="0"/>
          <w:numId w:val="25"/>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количество сбоев СОЕВ - не более 1% за период опытной эксплуатации.</w:t>
      </w:r>
    </w:p>
    <w:p>
      <w:pPr>
        <w:pStyle w:val="19"/>
        <w:widowControl w:val="false"/>
        <w:numPr>
          <w:ilvl w:val="0"/>
          <w:numId w:val="0"/>
        </w:numPr>
        <w:tabs>
          <w:tab w:val="clear" w:pos="709"/>
          <w:tab w:val="left" w:pos="851" w:leader="none"/>
        </w:tabs>
        <w:spacing w:before="0" w:after="0"/>
        <w:ind w:firstLine="709" w:left="0"/>
        <w:contextualSpacing/>
        <w:rPr>
          <w:sz w:val="26"/>
          <w:szCs w:val="26"/>
          <w:lang w:val="ru-RU"/>
        </w:rPr>
      </w:pPr>
      <w:r>
        <w:rPr>
          <w:sz w:val="26"/>
          <w:szCs w:val="26"/>
          <w:lang w:val="ru-RU"/>
        </w:rPr>
        <w:t>В части телемеханических функций опытная эксплуатация считается успешной в случае отсутствия инцидентов в течение 1 месяца работы системы.</w:t>
      </w:r>
    </w:p>
    <w:p>
      <w:pPr>
        <w:pStyle w:val="19"/>
        <w:widowControl w:val="false"/>
        <w:numPr>
          <w:ilvl w:val="0"/>
          <w:numId w:val="0"/>
        </w:numPr>
        <w:tabs>
          <w:tab w:val="clear" w:pos="709"/>
          <w:tab w:val="left" w:pos="851" w:leader="none"/>
        </w:tabs>
        <w:spacing w:before="0" w:after="0"/>
        <w:ind w:hanging="0" w:left="709"/>
        <w:contextualSpacing/>
        <w:rPr>
          <w:sz w:val="26"/>
          <w:szCs w:val="26"/>
          <w:lang w:val="ru-RU"/>
        </w:rPr>
      </w:pPr>
      <w:r>
        <w:rPr>
          <w:sz w:val="26"/>
          <w:szCs w:val="26"/>
          <w:lang w:val="ru-RU"/>
        </w:rPr>
        <w:t>До ввода в опытную эксплуатацию Заказчик:</w:t>
      </w:r>
    </w:p>
    <w:p>
      <w:pPr>
        <w:pStyle w:val="19"/>
        <w:widowControl w:val="false"/>
        <w:numPr>
          <w:ilvl w:val="0"/>
          <w:numId w:val="26"/>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формирует в ИВК ВУ балансовые группы;</w:t>
      </w:r>
    </w:p>
    <w:p>
      <w:pPr>
        <w:pStyle w:val="19"/>
        <w:widowControl w:val="false"/>
        <w:numPr>
          <w:ilvl w:val="0"/>
          <w:numId w:val="0"/>
        </w:numPr>
        <w:tabs>
          <w:tab w:val="clear" w:pos="709"/>
          <w:tab w:val="left" w:pos="851" w:leader="none"/>
          <w:tab w:val="left" w:pos="1134" w:leader="none"/>
        </w:tabs>
        <w:spacing w:before="0" w:after="0"/>
        <w:ind w:hanging="0" w:left="709"/>
        <w:contextualSpacing/>
        <w:rPr>
          <w:sz w:val="26"/>
          <w:szCs w:val="26"/>
          <w:lang w:val="ru-RU"/>
        </w:rPr>
      </w:pPr>
      <w:r>
        <w:rPr>
          <w:sz w:val="26"/>
          <w:szCs w:val="26"/>
          <w:lang w:val="ru-RU"/>
        </w:rPr>
        <w:t>Подрядчик:</w:t>
      </w:r>
    </w:p>
    <w:p>
      <w:pPr>
        <w:pStyle w:val="19"/>
        <w:widowControl w:val="false"/>
        <w:numPr>
          <w:ilvl w:val="0"/>
          <w:numId w:val="26"/>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 </w:t>
      </w:r>
      <w:r>
        <w:rPr>
          <w:sz w:val="26"/>
          <w:szCs w:val="26"/>
          <w:lang w:val="ru-RU"/>
        </w:rPr>
        <w:t>формирует в ИВК ВУ базу атрибутов НСИ и документального обеспечения, включающую всю имеющуюся в монтажных ведомостях информацию о приборах учета и УСПД;</w:t>
      </w:r>
    </w:p>
    <w:p>
      <w:pPr>
        <w:pStyle w:val="19"/>
        <w:widowControl w:val="false"/>
        <w:numPr>
          <w:ilvl w:val="0"/>
          <w:numId w:val="26"/>
        </w:numPr>
        <w:tabs>
          <w:tab w:val="clear" w:pos="709"/>
          <w:tab w:val="left" w:pos="851" w:leader="none"/>
          <w:tab w:val="left" w:pos="1134" w:leader="none"/>
        </w:tabs>
        <w:spacing w:before="0" w:after="0"/>
        <w:ind w:firstLine="709" w:left="0"/>
        <w:contextualSpacing/>
        <w:rPr>
          <w:sz w:val="26"/>
          <w:szCs w:val="26"/>
          <w:lang w:val="ru-RU"/>
        </w:rPr>
      </w:pPr>
      <w:r>
        <w:rPr>
          <w:sz w:val="26"/>
          <w:szCs w:val="26"/>
          <w:lang w:val="ru-RU"/>
        </w:rPr>
        <w:t>формирует в ОИК ЦУС кадры отображения для работы с телеинформацией (ТИ, ТС, команды ТУ) создаваемой системы учета.</w:t>
      </w:r>
    </w:p>
    <w:p>
      <w:pPr>
        <w:pStyle w:val="19"/>
        <w:numPr>
          <w:ilvl w:val="0"/>
          <w:numId w:val="0"/>
        </w:numPr>
        <w:tabs>
          <w:tab w:val="clear" w:pos="709"/>
          <w:tab w:val="left" w:pos="993" w:leader="none"/>
        </w:tabs>
        <w:spacing w:before="0" w:after="0"/>
        <w:ind w:hanging="0" w:left="0"/>
        <w:contextualSpacing/>
        <w:rPr>
          <w:sz w:val="26"/>
          <w:szCs w:val="26"/>
        </w:rPr>
      </w:pPr>
      <w:r>
        <w:rPr>
          <w:sz w:val="26"/>
          <w:szCs w:val="26"/>
        </w:rPr>
      </w:r>
    </w:p>
    <w:p>
      <w:pPr>
        <w:pStyle w:val="Heading1"/>
        <w:spacing w:before="0" w:after="0"/>
        <w:ind w:firstLine="709"/>
        <w:rPr>
          <w:sz w:val="26"/>
          <w:szCs w:val="26"/>
          <w:lang w:val="ru-RU"/>
        </w:rPr>
      </w:pPr>
      <w:r>
        <w:rPr>
          <w:sz w:val="26"/>
          <w:szCs w:val="26"/>
          <w:lang w:val="ru-RU"/>
        </w:rPr>
        <w:t>5</w:t>
      </w:r>
      <w:r>
        <w:rPr>
          <w:sz w:val="26"/>
          <w:szCs w:val="26"/>
        </w:rPr>
        <w:t>. Требования по стандартизации и унификации</w:t>
      </w:r>
    </w:p>
    <w:p>
      <w:pPr>
        <w:pStyle w:val="Normal"/>
        <w:tabs>
          <w:tab w:val="clear" w:pos="709"/>
          <w:tab w:val="left" w:pos="4248" w:leader="none"/>
          <w:tab w:val="left" w:pos="6048" w:leader="none"/>
          <w:tab w:val="left" w:pos="7144" w:leader="none"/>
          <w:tab w:val="left" w:pos="10182" w:leader="none"/>
          <w:tab w:val="left" w:pos="11203" w:leader="none"/>
          <w:tab w:val="left" w:pos="13807" w:leader="none"/>
          <w:tab w:val="left" w:pos="15354" w:leader="none"/>
        </w:tabs>
        <w:ind w:firstLine="709"/>
        <w:jc w:val="both"/>
        <w:rPr>
          <w:sz w:val="26"/>
          <w:szCs w:val="26"/>
        </w:rPr>
      </w:pPr>
      <w:r>
        <w:rPr>
          <w:sz w:val="26"/>
          <w:szCs w:val="26"/>
        </w:rPr>
        <w:t>Система учета создается в соответствии с требованиями действующих нормативно-правовых документов:</w:t>
      </w:r>
    </w:p>
    <w:p>
      <w:pPr>
        <w:pStyle w:val="Normal"/>
        <w:numPr>
          <w:ilvl w:val="1"/>
          <w:numId w:val="24"/>
        </w:numPr>
        <w:tabs>
          <w:tab w:val="clear" w:pos="709"/>
          <w:tab w:val="left" w:pos="993" w:leader="none"/>
        </w:tabs>
        <w:ind w:firstLine="709" w:left="0"/>
        <w:jc w:val="both"/>
        <w:rPr>
          <w:sz w:val="26"/>
          <w:szCs w:val="26"/>
        </w:rPr>
      </w:pPr>
      <w:r>
        <w:rPr>
          <w:sz w:val="26"/>
          <w:szCs w:val="26"/>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Normal"/>
        <w:numPr>
          <w:ilvl w:val="1"/>
          <w:numId w:val="24"/>
        </w:numPr>
        <w:tabs>
          <w:tab w:val="clear" w:pos="709"/>
          <w:tab w:val="left" w:pos="993" w:leader="none"/>
        </w:tabs>
        <w:ind w:firstLine="709" w:left="0"/>
        <w:jc w:val="both"/>
        <w:rPr>
          <w:sz w:val="26"/>
          <w:szCs w:val="26"/>
        </w:rPr>
      </w:pPr>
      <w:r>
        <w:rPr>
          <w:sz w:val="26"/>
          <w:szCs w:val="26"/>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pPr>
        <w:pStyle w:val="Normal"/>
        <w:numPr>
          <w:ilvl w:val="1"/>
          <w:numId w:val="24"/>
        </w:numPr>
        <w:tabs>
          <w:tab w:val="clear" w:pos="709"/>
          <w:tab w:val="left" w:pos="993" w:leader="none"/>
        </w:tabs>
        <w:ind w:firstLine="709" w:left="0"/>
        <w:jc w:val="both"/>
        <w:rPr>
          <w:sz w:val="26"/>
          <w:szCs w:val="26"/>
        </w:rPr>
      </w:pPr>
      <w:r>
        <w:rPr>
          <w:sz w:val="26"/>
          <w:szCs w:val="26"/>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1983-2015 «Трансформаторы напряжения. Общие технические условия»;</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7746-2015 «Трансформаторы тока. Общие технические условия»;</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Р МЭК 60044-8-2010 «Трансформаторы измерительные. Электронные трансформаторы тока»;</w:t>
      </w:r>
    </w:p>
    <w:p>
      <w:pPr>
        <w:pStyle w:val="Normal"/>
        <w:numPr>
          <w:ilvl w:val="1"/>
          <w:numId w:val="24"/>
        </w:numPr>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Р МЭК 60044-7-2010 «Трансформаторы измерительные. Электронные трансформаторы напряжения»</w:t>
      </w:r>
      <w:r>
        <w:rPr>
          <w:sz w:val="26"/>
          <w:szCs w:val="26"/>
          <w:lang w:val="en-US"/>
        </w:rPr>
        <w:t>;</w:t>
      </w:r>
    </w:p>
    <w:p>
      <w:pPr>
        <w:pStyle w:val="Normal"/>
        <w:numPr>
          <w:ilvl w:val="1"/>
          <w:numId w:val="24"/>
        </w:numPr>
        <w:tabs>
          <w:tab w:val="clear" w:pos="709"/>
          <w:tab w:val="left" w:pos="993" w:leader="none"/>
          <w:tab w:val="left" w:pos="4248"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19.101-77 «Единая система программной документации (ЕСПД). Виды программ и программных документов»;</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w:t>
      </w:r>
      <w:r>
        <w:rPr>
          <w:sz w:val="26"/>
          <w:szCs w:val="26"/>
          <w:lang w:val="en-US"/>
        </w:rPr>
        <w:t> </w:t>
      </w:r>
      <w:r>
        <w:rPr>
          <w:sz w:val="26"/>
          <w:szCs w:val="26"/>
        </w:rPr>
        <w:t>34.201-89 «Информационная Технология. Комплекс стандартов на автоматизированные системы»;</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w:t>
      </w:r>
      <w:r>
        <w:rPr>
          <w:sz w:val="26"/>
          <w:szCs w:val="26"/>
          <w:lang w:val="en-US"/>
        </w:rPr>
        <w:t> </w:t>
      </w:r>
      <w:r>
        <w:rPr>
          <w:sz w:val="26"/>
          <w:szCs w:val="26"/>
        </w:rPr>
        <w:t>34.601-90 «Информационная Технология. Комплекс стандартов на автоматизированные системы. Автоматизированные системы. Стадии создания»</w:t>
      </w:r>
      <w:r>
        <w:rPr>
          <w:sz w:val="26"/>
          <w:szCs w:val="26"/>
          <w:lang w:val="en-US"/>
        </w:rPr>
        <w:t>;</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34.602-89 «Техническое задание на создание автоматизированной системы»;</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34.603-92 «Виды испытаний автоматизированных систем»;</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МЭК 61850-9-2 «Системы автоматизации и сети связи на подстанциях. Часть 9-2. Схема особого коммуникационного сервиса (SCSM). Значения выборок по ISO/IEC 8802-3»;</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 xml:space="preserve">ГОСТ 14254-2015 «Степени защиты, обеспечиваемые оболочками (Код IP)»; </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ТР ТС 020/2011 «Электромагнитная совместимость технических средств»;</w:t>
      </w:r>
    </w:p>
    <w:p>
      <w:pPr>
        <w:pStyle w:val="Normal"/>
        <w:numPr>
          <w:ilvl w:val="1"/>
          <w:numId w:val="24"/>
        </w:numPr>
        <w:tabs>
          <w:tab w:val="clear" w:pos="709"/>
          <w:tab w:val="left" w:pos="993" w:leader="none"/>
          <w:tab w:val="left" w:pos="6048"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Р 8.563–2009. ГСОЕИ. «Методики (методы) измерений»;</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Р 8.596-2002 ГСОЕИ. «Метрологическое обеспечение измерительных систем. Основные положения»;</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ГОСТ Р 51583-2014 «Защита информации. Порядок создания автоматизированных систем в защищенном исполнении. Общие положения»;</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РД 34.09.101-94. Типовая инструкция по учету электроэнергии при ее производстве, передаче и распределении;</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РД 34.11.333-97. «Типовая методика выполнения измерений количества электрической энергии»;</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РД 34.11.334-97. «Типовая методика выполнения измерений электрической мощности»;</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МИ 222-80. «Методика расчета метрологических характеристик ИК ИИС по метрологическим характеристикам компонентов»;</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МИ 2168-91 ГСИ ИИС. «Методика расчета метрологических характеристик измерительных каналов по метрологическим характеристикам линейных аналоговых компонентов»;</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МИ 2439-97 ГСИ. «Метрологические характеристики измерительных систем. Номенклатура. Принцип регламентации, определения и контроля;</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pPr>
        <w:pStyle w:val="Normal"/>
        <w:numPr>
          <w:ilvl w:val="1"/>
          <w:numId w:val="24"/>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Инструкция по проверке трансформаторов напряжения и их вторичных цепей - М.: СПО Союзтехэнерго, 1979.</w:t>
      </w:r>
    </w:p>
    <w:p>
      <w:pPr>
        <w:pStyle w:val="Normal"/>
        <w:tabs>
          <w:tab w:val="clear" w:pos="709"/>
          <w:tab w:val="left" w:pos="993" w:leader="none"/>
          <w:tab w:val="left" w:pos="7144" w:leader="none"/>
          <w:tab w:val="left" w:pos="10182" w:leader="none"/>
          <w:tab w:val="left" w:pos="11203" w:leader="none"/>
          <w:tab w:val="left" w:pos="13807" w:leader="none"/>
          <w:tab w:val="left" w:pos="15354" w:leader="none"/>
        </w:tabs>
        <w:ind w:left="709"/>
        <w:jc w:val="both"/>
        <w:rPr>
          <w:sz w:val="26"/>
          <w:szCs w:val="26"/>
        </w:rPr>
      </w:pPr>
      <w:r>
        <w:rPr>
          <w:sz w:val="26"/>
          <w:szCs w:val="26"/>
        </w:rPr>
      </w:r>
    </w:p>
    <w:p>
      <w:pPr>
        <w:pStyle w:val="Heading1"/>
        <w:spacing w:before="0" w:after="0"/>
        <w:ind w:firstLine="709"/>
        <w:rPr>
          <w:sz w:val="26"/>
          <w:szCs w:val="26"/>
          <w:lang w:val="ru-RU"/>
        </w:rPr>
      </w:pPr>
      <w:r>
        <w:rPr>
          <w:sz w:val="26"/>
          <w:szCs w:val="26"/>
          <w:lang w:val="ru-RU"/>
        </w:rPr>
        <w:t>6</w:t>
      </w:r>
      <w:r>
        <w:rPr>
          <w:sz w:val="26"/>
          <w:szCs w:val="26"/>
        </w:rPr>
        <w:t>. Гарантийные обязательства</w:t>
      </w:r>
    </w:p>
    <w:p>
      <w:pPr>
        <w:pStyle w:val="Normal"/>
        <w:numPr>
          <w:ilvl w:val="1"/>
          <w:numId w:val="23"/>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Гарантии качества распространяются на всё оборудование системы учета электроэнергии, ее конструктивные элементы, выполненные работы.</w:t>
      </w:r>
    </w:p>
    <w:p>
      <w:pPr>
        <w:pStyle w:val="Normal"/>
        <w:numPr>
          <w:ilvl w:val="1"/>
          <w:numId w:val="23"/>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актов допуска в эксплуатацию приборов учета / УСПД объекта.</w:t>
      </w:r>
    </w:p>
    <w:p>
      <w:pPr>
        <w:pStyle w:val="Normal"/>
        <w:numPr>
          <w:ilvl w:val="1"/>
          <w:numId w:val="23"/>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pPr>
        <w:pStyle w:val="Normal"/>
        <w:numPr>
          <w:ilvl w:val="1"/>
          <w:numId w:val="23"/>
        </w:numPr>
        <w:tabs>
          <w:tab w:val="clear" w:pos="709"/>
          <w:tab w:val="left" w:pos="993" w:leader="none"/>
          <w:tab w:val="left" w:pos="7144" w:leader="none"/>
          <w:tab w:val="left" w:pos="10182" w:leader="none"/>
          <w:tab w:val="left" w:pos="11203" w:leader="none"/>
          <w:tab w:val="left" w:pos="13807" w:leader="none"/>
          <w:tab w:val="left" w:pos="15354" w:leader="none"/>
        </w:tabs>
        <w:ind w:firstLine="709" w:left="0"/>
        <w:jc w:val="both"/>
        <w:rPr>
          <w:sz w:val="26"/>
          <w:szCs w:val="26"/>
        </w:rPr>
      </w:pPr>
      <w:r>
        <w:rPr>
          <w:sz w:val="26"/>
          <w:szCs w:val="26"/>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pPr>
        <w:pStyle w:val="Normal"/>
        <w:widowControl w:val="false"/>
        <w:shd w:val="clear" w:color="auto" w:fill="FFFFFF"/>
        <w:ind w:firstLine="709"/>
        <w:jc w:val="both"/>
        <w:rPr>
          <w:sz w:val="26"/>
          <w:szCs w:val="26"/>
        </w:rPr>
      </w:pPr>
      <w:r>
        <w:rPr>
          <w:sz w:val="26"/>
          <w:szCs w:val="26"/>
        </w:rPr>
        <w:t>При выявлении дефекта Подрядчик обязан:</w:t>
      </w:r>
    </w:p>
    <w:p>
      <w:pPr>
        <w:pStyle w:val="Normal"/>
        <w:widowControl w:val="false"/>
        <w:shd w:val="clear" w:color="auto" w:fill="FFFFFF"/>
        <w:ind w:firstLine="709"/>
        <w:jc w:val="both"/>
        <w:rPr>
          <w:sz w:val="26"/>
          <w:szCs w:val="26"/>
        </w:rPr>
      </w:pPr>
      <w:r>
        <w:rPr>
          <w:sz w:val="26"/>
          <w:szCs w:val="26"/>
        </w:rPr>
        <w:t>-</w:t>
      </w:r>
      <w:r>
        <w:rPr>
          <w:sz w:val="26"/>
          <w:szCs w:val="26"/>
          <w:lang w:val="en-US"/>
        </w:rPr>
        <w:t> </w:t>
      </w:r>
      <w:r>
        <w:rPr>
          <w:sz w:val="26"/>
          <w:szCs w:val="26"/>
        </w:rPr>
        <w:t>обеспечить Заказчика необходимым техническими консультациями не позднее 1</w:t>
      </w:r>
      <w:r>
        <w:rPr>
          <w:sz w:val="26"/>
          <w:szCs w:val="26"/>
          <w:lang w:val="en-US"/>
        </w:rPr>
        <w:t> </w:t>
      </w:r>
      <w:r>
        <w:rPr>
          <w:sz w:val="26"/>
          <w:szCs w:val="26"/>
        </w:rPr>
        <w:t>(одного) часа по рабочим дням со дня обращения последнего с использованием любых доступных видов связи;</w:t>
      </w:r>
    </w:p>
    <w:p>
      <w:pPr>
        <w:pStyle w:val="Normal"/>
        <w:widowControl w:val="false"/>
        <w:shd w:val="clear" w:color="auto" w:fill="FFFFFF"/>
        <w:ind w:firstLine="709"/>
        <w:jc w:val="both"/>
        <w:rPr>
          <w:sz w:val="26"/>
          <w:szCs w:val="26"/>
        </w:rPr>
      </w:pPr>
      <w:r>
        <w:rPr>
          <w:sz w:val="26"/>
          <w:szCs w:val="26"/>
        </w:rPr>
        <w:t>-</w:t>
      </w:r>
      <w:r>
        <w:rPr>
          <w:sz w:val="26"/>
          <w:szCs w:val="26"/>
          <w:lang w:val="en-US"/>
        </w:rPr>
        <w:t> </w:t>
      </w:r>
      <w:r>
        <w:rPr>
          <w:sz w:val="26"/>
          <w:szCs w:val="26"/>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pPr>
        <w:pStyle w:val="Normal"/>
        <w:ind w:firstLine="709"/>
        <w:jc w:val="both"/>
        <w:rPr>
          <w:sz w:val="26"/>
          <w:szCs w:val="26"/>
        </w:rPr>
      </w:pPr>
      <w:r>
        <w:rPr>
          <w:sz w:val="26"/>
          <w:szCs w:val="26"/>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Pr>
          <w:sz w:val="26"/>
          <w:szCs w:val="26"/>
          <w:lang w:val="en-US"/>
        </w:rPr>
        <w:t> </w:t>
      </w:r>
      <w:r>
        <w:rPr>
          <w:sz w:val="26"/>
          <w:szCs w:val="26"/>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pPr>
        <w:pStyle w:val="Normal"/>
        <w:ind w:firstLine="709"/>
        <w:jc w:val="both"/>
        <w:rPr>
          <w:b/>
          <w:sz w:val="26"/>
          <w:szCs w:val="26"/>
        </w:rPr>
      </w:pPr>
      <w:r>
        <w:rPr>
          <w:b/>
          <w:sz w:val="26"/>
          <w:szCs w:val="26"/>
        </w:rPr>
      </w:r>
    </w:p>
    <w:p>
      <w:pPr>
        <w:pStyle w:val="Heading1"/>
        <w:spacing w:before="0" w:after="0"/>
        <w:ind w:firstLine="709"/>
        <w:rPr>
          <w:sz w:val="26"/>
          <w:szCs w:val="26"/>
          <w:lang w:val="ru-RU"/>
        </w:rPr>
      </w:pPr>
      <w:r>
        <w:rPr>
          <w:sz w:val="26"/>
          <w:szCs w:val="26"/>
          <w:lang w:val="ru-RU"/>
        </w:rPr>
        <w:t>7</w:t>
      </w:r>
      <w:r>
        <w:rPr>
          <w:sz w:val="26"/>
          <w:szCs w:val="26"/>
        </w:rPr>
        <w:t>. Особые условия</w:t>
      </w:r>
    </w:p>
    <w:p>
      <w:pPr>
        <w:pStyle w:val="Normal"/>
        <w:widowControl w:val="false"/>
        <w:ind w:firstLine="709"/>
        <w:jc w:val="both"/>
        <w:rPr>
          <w:sz w:val="26"/>
          <w:szCs w:val="26"/>
        </w:rPr>
      </w:pPr>
      <w:r>
        <w:rPr>
          <w:sz w:val="26"/>
          <w:szCs w:val="26"/>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pPr>
        <w:pStyle w:val="Normal"/>
        <w:ind w:firstLine="709"/>
        <w:jc w:val="both"/>
        <w:rPr>
          <w:spacing w:val="-5"/>
          <w:sz w:val="26"/>
          <w:szCs w:val="26"/>
        </w:rPr>
      </w:pPr>
      <w:r>
        <w:rPr>
          <w:spacing w:val="-5"/>
          <w:sz w:val="26"/>
          <w:szCs w:val="26"/>
        </w:rPr>
        <w:t>Монтаж оборудования необходимо проводить с соблюдением ПОТЭЭУ (утверждены приказом Минтруда России от 24.07.2013 № 328н) по утвержденному «АО «ЕЭСК» графику производства работ.</w:t>
      </w:r>
    </w:p>
    <w:p>
      <w:pPr>
        <w:pStyle w:val="Normal"/>
        <w:ind w:firstLine="709"/>
        <w:jc w:val="both"/>
        <w:rPr>
          <w:spacing w:val="-5"/>
          <w:sz w:val="26"/>
          <w:szCs w:val="26"/>
        </w:rPr>
      </w:pPr>
      <w:r>
        <w:rPr>
          <w:spacing w:val="-5"/>
          <w:sz w:val="26"/>
          <w:szCs w:val="26"/>
        </w:rPr>
        <w:t xml:space="preserve">Работы по опломбировке элементов и компонентов системы учета (приборы учета, измерительные трансформаторы тока, напряжения, переходные и испытательные клеммники, выключатели, </w:t>
      </w:r>
      <w:r>
        <w:rPr>
          <w:sz w:val="26"/>
          <w:szCs w:val="26"/>
        </w:rPr>
        <w:t>дверцы ВШУ</w:t>
      </w:r>
      <w:r>
        <w:rPr>
          <w:spacing w:val="-5"/>
          <w:sz w:val="26"/>
          <w:szCs w:val="26"/>
        </w:rPr>
        <w:t>), в том числе, находящихся на высоте более 1,8 метра выполняются средствами и силами Подрядчика.</w:t>
      </w:r>
    </w:p>
    <w:p>
      <w:pPr>
        <w:pStyle w:val="38"/>
        <w:rPr>
          <w:sz w:val="26"/>
          <w:szCs w:val="26"/>
        </w:rPr>
      </w:pPr>
      <w:r>
        <w:rPr>
          <w:sz w:val="26"/>
          <w:szCs w:val="26"/>
        </w:rPr>
      </w:r>
    </w:p>
    <w:p>
      <w:pPr>
        <w:pStyle w:val="Heading1"/>
        <w:spacing w:before="0" w:after="0"/>
        <w:ind w:firstLine="709"/>
        <w:rPr>
          <w:sz w:val="26"/>
          <w:szCs w:val="26"/>
        </w:rPr>
      </w:pPr>
      <w:r>
        <w:rPr>
          <w:sz w:val="26"/>
          <w:szCs w:val="26"/>
          <w:lang w:val="ru-RU"/>
        </w:rPr>
        <w:t>8</w:t>
      </w:r>
      <w:r>
        <w:rPr>
          <w:sz w:val="26"/>
          <w:szCs w:val="26"/>
        </w:rPr>
        <w:t>. По техническим условиям выполнения работ обращаться:</w:t>
      </w:r>
    </w:p>
    <w:p>
      <w:pPr>
        <w:pStyle w:val="38"/>
        <w:ind w:hanging="0"/>
        <w:rPr>
          <w:sz w:val="26"/>
          <w:szCs w:val="26"/>
        </w:rPr>
      </w:pPr>
      <w:r>
        <w:rPr>
          <w:sz w:val="26"/>
          <w:szCs w:val="26"/>
        </w:rPr>
        <w:t>Начальник УУЭ «ЕЭСК» - Савельев Иван Александрович тел. (343) 356-23-63</w:t>
      </w:r>
    </w:p>
    <w:p>
      <w:pPr>
        <w:pStyle w:val="38"/>
        <w:ind w:hanging="0"/>
        <w:rPr>
          <w:sz w:val="26"/>
          <w:szCs w:val="26"/>
        </w:rPr>
      </w:pPr>
      <w:r>
        <w:rPr>
          <w:sz w:val="26"/>
          <w:szCs w:val="26"/>
        </w:rPr>
        <w:t>Ведущий инженер ОПР СУЭ УУЭ АО «ЕЭСК» –Истомин Антон Викторович тел.(343) 356-21-31</w:t>
      </w:r>
    </w:p>
    <w:p>
      <w:pPr>
        <w:pStyle w:val="Heading1"/>
        <w:spacing w:before="0" w:after="0"/>
        <w:ind w:firstLine="709"/>
        <w:rPr>
          <w:sz w:val="26"/>
          <w:szCs w:val="26"/>
          <w:lang w:val="ru-RU"/>
        </w:rPr>
      </w:pPr>
      <w:r>
        <w:rPr>
          <w:sz w:val="26"/>
          <w:szCs w:val="26"/>
          <w:lang w:val="ru-RU"/>
        </w:rPr>
        <w:t>9</w:t>
      </w:r>
      <w:r>
        <w:rPr>
          <w:sz w:val="26"/>
          <w:szCs w:val="26"/>
        </w:rPr>
        <w:t>. Приложения</w:t>
      </w:r>
    </w:p>
    <w:p>
      <w:pPr>
        <w:pStyle w:val="Normal"/>
        <w:ind w:firstLine="709"/>
        <w:jc w:val="both"/>
        <w:rPr>
          <w:sz w:val="26"/>
          <w:szCs w:val="26"/>
        </w:rPr>
      </w:pPr>
      <w:r>
        <w:rPr>
          <w:sz w:val="26"/>
          <w:szCs w:val="26"/>
        </w:rPr>
        <w:t>Приложение 1. Места организации учета электроэнергии (приложение в таблице excel).</w:t>
      </w:r>
    </w:p>
    <w:p>
      <w:pPr>
        <w:pStyle w:val="Normal"/>
        <w:ind w:firstLine="709"/>
        <w:jc w:val="both"/>
        <w:rPr>
          <w:sz w:val="26"/>
          <w:szCs w:val="26"/>
        </w:rPr>
      </w:pPr>
      <w:r>
        <w:rPr>
          <w:sz w:val="26"/>
          <w:szCs w:val="26"/>
        </w:rPr>
        <w:t>Приложение 2. Регламент Взаимодействие при установке (замене) приборов учета электроэнергии и присоединении их к интеллектуальным системам учета электроэнергии (мощности) в филиалах (ДО) ПАО «Россети Урал» при организации интеллектуального учета электроэнергии.</w:t>
      </w:r>
    </w:p>
    <w:p>
      <w:pPr>
        <w:pStyle w:val="Normal"/>
        <w:ind w:firstLine="709"/>
        <w:jc w:val="both"/>
        <w:rPr>
          <w:sz w:val="26"/>
          <w:szCs w:val="26"/>
        </w:rPr>
      </w:pPr>
      <w:r>
        <w:rPr>
          <w:sz w:val="26"/>
          <w:szCs w:val="26"/>
        </w:rPr>
        <w:t>Приложение 3. Формы монтажных таблиц, описание требований к заполнению (приложение в таблице excel).</w:t>
      </w:r>
    </w:p>
    <w:p>
      <w:pPr>
        <w:pStyle w:val="Normal"/>
        <w:ind w:firstLine="709"/>
        <w:jc w:val="both"/>
        <w:rPr>
          <w:sz w:val="26"/>
          <w:szCs w:val="26"/>
        </w:rPr>
      </w:pPr>
      <w:r>
        <w:rPr>
          <w:sz w:val="26"/>
          <w:szCs w:val="26"/>
        </w:rPr>
        <w:t>Приложение 4. Типовые технические решения ПАО «Россети» по организации учета электроэнергии.</w:t>
      </w:r>
    </w:p>
    <w:p>
      <w:pPr>
        <w:pStyle w:val="Normal"/>
        <w:ind w:firstLine="709"/>
        <w:jc w:val="both"/>
        <w:rPr>
          <w:sz w:val="26"/>
          <w:szCs w:val="26"/>
        </w:rPr>
      </w:pPr>
      <w:r>
        <w:rPr>
          <w:sz w:val="26"/>
          <w:szCs w:val="26"/>
        </w:rPr>
        <w:t>Приложение 5. Формат Программы и методики испытаний.</w:t>
      </w:r>
    </w:p>
    <w:p>
      <w:pPr>
        <w:pStyle w:val="Normal"/>
        <w:ind w:firstLine="709"/>
        <w:jc w:val="both"/>
        <w:rPr>
          <w:sz w:val="26"/>
          <w:szCs w:val="26"/>
        </w:rPr>
      </w:pPr>
      <w:r>
        <w:rPr>
          <w:sz w:val="26"/>
          <w:szCs w:val="26"/>
        </w:rPr>
        <w:t>Приложение 6. Порядок работы в АИС «ИСУР».</w:t>
      </w:r>
      <w:r>
        <w:br w:type="page"/>
      </w:r>
    </w:p>
    <w:p>
      <w:pPr>
        <w:pStyle w:val="Normal"/>
        <w:spacing w:before="0" w:after="0"/>
        <w:jc w:val="both"/>
        <w:rPr/>
      </w:pPr>
      <w:r>
        <w:rPr/>
        <w:t xml:space="preserve">                                                                                                          </w:t>
      </w:r>
      <w:r>
        <w:rPr/>
        <w:t>Приложение 1</w:t>
      </w:r>
    </w:p>
    <w:p>
      <w:pPr>
        <w:pStyle w:val="Normal"/>
        <w:jc w:val="both"/>
        <w:rPr/>
      </w:pPr>
      <w:r>
        <w:rPr/>
        <w:t xml:space="preserve">                                                                                                         </w:t>
      </w:r>
      <w:r>
        <w:rPr/>
        <w:t>к типовому техническому заданию</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center"/>
        <w:rPr>
          <w:b/>
          <w:sz w:val="28"/>
          <w:szCs w:val="28"/>
        </w:rPr>
      </w:pPr>
      <w:r>
        <w:rPr>
          <w:b/>
          <w:sz w:val="28"/>
          <w:szCs w:val="28"/>
        </w:rPr>
        <w:t>Места организации учета электроэнергии</w:t>
      </w:r>
    </w:p>
    <w:p>
      <w:pPr>
        <w:pStyle w:val="Normal"/>
        <w:jc w:val="both"/>
        <w:rPr>
          <w:sz w:val="26"/>
          <w:szCs w:val="26"/>
        </w:rPr>
      </w:pPr>
      <w:r>
        <w:rPr>
          <w:sz w:val="26"/>
          <w:szCs w:val="26"/>
        </w:rPr>
      </w:r>
    </w:p>
    <w:p>
      <w:pPr>
        <w:pStyle w:val="Normal"/>
        <w:jc w:val="both"/>
        <w:rPr>
          <w:sz w:val="26"/>
          <w:szCs w:val="26"/>
        </w:rPr>
      </w:pPr>
      <w:r>
        <w:rPr>
          <w:sz w:val="26"/>
          <w:szCs w:val="26"/>
        </w:rPr>
        <w:t>Таблица 1. Перечень объектов (приложение в формате exсеl)</w:t>
      </w:r>
    </w:p>
    <w:p>
      <w:pPr>
        <w:pStyle w:val="Normal"/>
        <w:jc w:val="both"/>
        <w:rPr>
          <w:sz w:val="26"/>
          <w:szCs w:val="26"/>
        </w:rPr>
      </w:pPr>
      <w:r>
        <w:rPr>
          <w:sz w:val="26"/>
          <w:szCs w:val="26"/>
        </w:rPr>
      </w:r>
    </w:p>
    <w:p>
      <w:pPr>
        <w:pStyle w:val="Normal"/>
        <w:jc w:val="both"/>
        <w:rPr>
          <w:sz w:val="26"/>
          <w:szCs w:val="26"/>
        </w:rPr>
      </w:pPr>
      <w:r>
        <w:rPr>
          <w:sz w:val="26"/>
          <w:szCs w:val="26"/>
        </w:rPr>
        <w:t>Таблица 2. Спецификация оборудования для расчета предельной стоимости (приложение в формате excel)</w:t>
      </w:r>
    </w:p>
    <w:p>
      <w:pPr>
        <w:pStyle w:val="Normal"/>
        <w:jc w:val="both"/>
        <w:rPr>
          <w:sz w:val="26"/>
          <w:szCs w:val="26"/>
        </w:rPr>
      </w:pPr>
      <w:r>
        <w:rPr>
          <w:sz w:val="26"/>
          <w:szCs w:val="26"/>
        </w:rPr>
      </w:r>
    </w:p>
    <w:p>
      <w:pPr>
        <w:pStyle w:val="Normal"/>
        <w:jc w:val="both"/>
        <w:rPr>
          <w:sz w:val="26"/>
          <w:szCs w:val="26"/>
        </w:rPr>
      </w:pPr>
      <w:r>
        <w:rPr>
          <w:sz w:val="26"/>
          <w:szCs w:val="26"/>
        </w:rPr>
        <w:t>Таблица 3. Объем выполняемых работ для расчета предельной стоимости (приложение в формате excel)</w:t>
      </w:r>
    </w:p>
    <w:p>
      <w:pPr>
        <w:pStyle w:val="Normal"/>
        <w:ind w:left="5670"/>
        <w:rPr>
          <w:sz w:val="26"/>
          <w:szCs w:val="26"/>
        </w:rPr>
      </w:pPr>
      <w:r>
        <w:rPr>
          <w:sz w:val="26"/>
          <w:szCs w:val="26"/>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r>
    </w:p>
    <w:p>
      <w:pPr>
        <w:pStyle w:val="Normal"/>
        <w:ind w:left="5670"/>
        <w:rPr/>
      </w:pPr>
      <w:r>
        <w:rPr/>
        <w:t>Приложение 2</w:t>
      </w:r>
    </w:p>
    <w:p>
      <w:pPr>
        <w:pStyle w:val="Normal"/>
        <w:ind w:left="5670"/>
        <w:rPr/>
      </w:pPr>
      <w:r>
        <w:rPr/>
        <w:t>к типовому техническому заданию</w:t>
      </w:r>
    </w:p>
    <w:p>
      <w:pPr>
        <w:pStyle w:val="Normal"/>
        <w:ind w:left="5670"/>
        <w:rPr/>
      </w:pPr>
      <w:r>
        <w:rPr/>
        <w:t>(в электронном виде)</w:t>
      </w:r>
    </w:p>
    <w:p>
      <w:pPr>
        <w:pStyle w:val="Normal"/>
        <w:rPr/>
      </w:pPr>
      <w:r>
        <w:rPr/>
      </w:r>
    </w:p>
    <w:p>
      <w:pPr>
        <w:pStyle w:val="Normal"/>
        <w:rPr/>
      </w:pPr>
      <w:r>
        <w:rPr/>
      </w:r>
    </w:p>
    <w:p>
      <w:pPr>
        <w:pStyle w:val="Normal"/>
        <w:jc w:val="both"/>
        <w:rPr>
          <w:sz w:val="26"/>
          <w:szCs w:val="26"/>
        </w:rPr>
      </w:pPr>
      <w:r>
        <w:rPr>
          <w:sz w:val="26"/>
          <w:szCs w:val="26"/>
        </w:rPr>
      </w:r>
    </w:p>
    <w:p>
      <w:pPr>
        <w:pStyle w:val="Normal"/>
        <w:jc w:val="both"/>
        <w:rPr>
          <w:sz w:val="26"/>
          <w:szCs w:val="26"/>
        </w:rPr>
      </w:pPr>
      <w:r>
        <w:rPr>
          <w:sz w:val="26"/>
          <w:szCs w:val="26"/>
        </w:rPr>
      </w:r>
    </w:p>
    <w:p>
      <w:pPr>
        <w:pStyle w:val="Normal"/>
        <w:jc w:val="center"/>
        <w:rPr>
          <w:b/>
          <w:sz w:val="26"/>
          <w:szCs w:val="26"/>
        </w:rPr>
      </w:pPr>
      <w:r>
        <w:rPr>
          <w:b/>
          <w:sz w:val="28"/>
          <w:szCs w:val="28"/>
        </w:rPr>
        <w:t>РГ РС-ДРУиУЭ-08-2025 Регламент взаимодействия при установке (замене) приборов учета электроэнергии и присоединении их к интеллектуальным системам учета электроэнергии (мощности) в филиалах (ДО) ПАО «Россети Урал»</w:t>
      </w:r>
    </w:p>
    <w:p>
      <w:pPr>
        <w:pStyle w:val="Normal"/>
        <w:jc w:val="center"/>
        <w:rPr>
          <w:sz w:val="26"/>
          <w:szCs w:val="26"/>
        </w:rPr>
      </w:pPr>
      <w:r>
        <w:rPr>
          <w:sz w:val="26"/>
          <w:szCs w:val="26"/>
        </w:rPr>
      </w:r>
    </w:p>
    <w:p>
      <w:pPr>
        <w:pStyle w:val="Normal"/>
        <w:jc w:val="center"/>
        <w:rPr>
          <w:sz w:val="26"/>
          <w:szCs w:val="26"/>
          <w:highlight w:val="none"/>
        </w:rPr>
      </w:pPr>
      <w:r>
        <w:rPr>
          <w:b/>
          <w:sz w:val="26"/>
          <w:szCs w:val="26"/>
        </w:rPr>
        <w:t xml:space="preserve"> </w:t>
      </w:r>
      <w:r>
        <w:rPr>
          <w:sz w:val="26"/>
          <w:szCs w:val="26"/>
        </w:rPr>
        <w:t>(по тексту - Регламент взаимодействия)</w:t>
      </w:r>
    </w:p>
    <w:p>
      <w:pPr>
        <w:pStyle w:val="Normal"/>
        <w:jc w:val="center"/>
        <w:rPr>
          <w:sz w:val="26"/>
          <w:szCs w:val="26"/>
        </w:rPr>
      </w:pPr>
      <w:r>
        <w:rPr>
          <w:sz w:val="26"/>
          <w:szCs w:val="26"/>
        </w:rPr>
      </w:r>
    </w:p>
    <w:p>
      <w:pPr>
        <w:pStyle w:val="Normal"/>
        <w:jc w:val="center"/>
        <w:rPr>
          <w:sz w:val="26"/>
          <w:szCs w:val="26"/>
        </w:rPr>
      </w:pPr>
      <w:r>
        <w:rPr>
          <w:sz w:val="26"/>
          <w:szCs w:val="26"/>
        </w:rPr>
        <w:t xml:space="preserve">(Утвержден приказом </w:t>
      </w:r>
      <w:r>
        <w:rPr>
          <w:sz w:val="26"/>
          <w:szCs w:val="26"/>
        </w:rPr>
        <w:br w:type="textWrapping" w:clear="all"/>
      </w:r>
      <w:r>
        <w:rPr>
          <w:sz w:val="26"/>
          <w:szCs w:val="26"/>
        </w:rPr>
        <w:t>ПАО «Россети» от 15.09.2025 № 454)</w:t>
      </w:r>
    </w:p>
    <w:p>
      <w:pPr>
        <w:pStyle w:val="Normal"/>
        <w:ind w:firstLine="709"/>
        <w:jc w:val="right"/>
        <w:rPr/>
      </w:pPr>
      <w:r>
        <w:rPr/>
      </w:r>
      <w:r>
        <w:br w:type="page"/>
      </w:r>
    </w:p>
    <w:p>
      <w:pPr>
        <w:pStyle w:val="Normal"/>
        <w:spacing w:before="0" w:after="0"/>
        <w:ind w:left="5812"/>
        <w:rPr/>
      </w:pPr>
      <w:r>
        <w:rPr/>
        <w:t xml:space="preserve">Приложение 3 </w:t>
      </w:r>
    </w:p>
    <w:p>
      <w:pPr>
        <w:pStyle w:val="Normal"/>
        <w:ind w:left="5812"/>
        <w:rPr/>
      </w:pPr>
      <w:r>
        <w:rPr/>
        <w:t>к типовому техническому заданию</w:t>
      </w:r>
    </w:p>
    <w:p>
      <w:pPr>
        <w:pStyle w:val="Normal"/>
        <w:ind w:firstLine="709"/>
        <w:jc w:val="both"/>
        <w:rPr>
          <w:b/>
          <w:sz w:val="28"/>
          <w:szCs w:val="28"/>
        </w:rPr>
      </w:pPr>
      <w:r>
        <w:rPr>
          <w:b/>
          <w:sz w:val="28"/>
          <w:szCs w:val="28"/>
        </w:rPr>
      </w:r>
    </w:p>
    <w:p>
      <w:pPr>
        <w:pStyle w:val="Normal"/>
        <w:ind w:firstLine="709"/>
        <w:jc w:val="both"/>
        <w:rPr>
          <w:b/>
          <w:sz w:val="26"/>
          <w:szCs w:val="26"/>
        </w:rPr>
      </w:pPr>
      <w:r>
        <w:rPr>
          <w:b/>
          <w:sz w:val="26"/>
          <w:szCs w:val="26"/>
        </w:rPr>
      </w:r>
    </w:p>
    <w:p>
      <w:pPr>
        <w:pStyle w:val="Normal"/>
        <w:ind w:firstLine="709"/>
        <w:jc w:val="both"/>
        <w:rPr>
          <w:b/>
          <w:sz w:val="26"/>
          <w:szCs w:val="26"/>
        </w:rPr>
      </w:pPr>
      <w:r>
        <w:rPr>
          <w:b/>
          <w:sz w:val="26"/>
          <w:szCs w:val="26"/>
        </w:rPr>
        <w:t>Формы монтажных таблиц, описание требований к заполнению</w:t>
      </w:r>
    </w:p>
    <w:p>
      <w:pPr>
        <w:pStyle w:val="Normal"/>
        <w:ind w:firstLine="709"/>
        <w:jc w:val="both"/>
        <w:rPr>
          <w:sz w:val="26"/>
          <w:szCs w:val="26"/>
        </w:rPr>
      </w:pPr>
      <w:r>
        <w:rPr>
          <w:sz w:val="26"/>
          <w:szCs w:val="26"/>
        </w:rPr>
      </w:r>
    </w:p>
    <w:p>
      <w:pPr>
        <w:pStyle w:val="Normal"/>
        <w:ind w:firstLine="709"/>
        <w:jc w:val="both"/>
        <w:rPr>
          <w:sz w:val="26"/>
          <w:szCs w:val="26"/>
        </w:rPr>
      </w:pPr>
      <w:r>
        <w:rPr>
          <w:sz w:val="26"/>
          <w:szCs w:val="26"/>
        </w:rPr>
        <w:t xml:space="preserve">Монтажная ведомость представляет собой таблицы в формате </w:t>
      </w:r>
      <w:r>
        <w:rPr>
          <w:sz w:val="26"/>
          <w:szCs w:val="26"/>
          <w:lang w:val="en-US"/>
        </w:rPr>
        <w:t>Excel</w:t>
      </w:r>
      <w:r>
        <w:rPr>
          <w:sz w:val="26"/>
          <w:szCs w:val="26"/>
        </w:rPr>
        <w:t>, которая содержит информацию о фактически установленном оборудовании.</w:t>
      </w:r>
    </w:p>
    <w:p>
      <w:pPr>
        <w:pStyle w:val="Normal"/>
        <w:ind w:firstLine="709"/>
        <w:jc w:val="both"/>
        <w:rPr>
          <w:sz w:val="26"/>
          <w:szCs w:val="26"/>
        </w:rPr>
      </w:pPr>
      <w:r>
        <w:rPr>
          <w:sz w:val="26"/>
          <w:szCs w:val="26"/>
        </w:rPr>
      </w:r>
    </w:p>
    <w:p>
      <w:pPr>
        <w:pStyle w:val="Normal"/>
        <w:ind w:firstLine="709"/>
        <w:jc w:val="both"/>
        <w:rPr>
          <w:sz w:val="26"/>
          <w:szCs w:val="26"/>
          <w:u w:val="single"/>
        </w:rPr>
      </w:pPr>
      <w:r>
        <w:rPr>
          <w:sz w:val="26"/>
          <w:szCs w:val="26"/>
          <w:u w:val="single"/>
        </w:rPr>
        <w:t>Пояснения к заполнению монтажной ведомости прибора учета:</w:t>
      </w:r>
    </w:p>
    <w:p>
      <w:pPr>
        <w:pStyle w:val="Normal"/>
        <w:numPr>
          <w:ilvl w:val="0"/>
          <w:numId w:val="10"/>
        </w:numPr>
        <w:tabs>
          <w:tab w:val="clear" w:pos="709"/>
          <w:tab w:val="left" w:pos="993" w:leader="none"/>
        </w:tabs>
        <w:ind w:firstLine="709" w:left="0"/>
        <w:jc w:val="both"/>
        <w:rPr>
          <w:sz w:val="26"/>
          <w:szCs w:val="26"/>
        </w:rPr>
      </w:pPr>
      <w:r>
        <w:rPr>
          <w:sz w:val="26"/>
          <w:szCs w:val="26"/>
        </w:rPr>
        <w:t>«№ п\п» - порядковый номер ПУ;</w:t>
      </w:r>
    </w:p>
    <w:p>
      <w:pPr>
        <w:pStyle w:val="Normal"/>
        <w:numPr>
          <w:ilvl w:val="0"/>
          <w:numId w:val="10"/>
        </w:numPr>
        <w:tabs>
          <w:tab w:val="clear" w:pos="709"/>
          <w:tab w:val="left" w:pos="993" w:leader="none"/>
        </w:tabs>
        <w:ind w:firstLine="709" w:left="0"/>
        <w:jc w:val="both"/>
        <w:rPr>
          <w:sz w:val="26"/>
          <w:szCs w:val="26"/>
        </w:rPr>
      </w:pPr>
      <w:r>
        <w:rPr>
          <w:sz w:val="26"/>
          <w:szCs w:val="26"/>
        </w:rPr>
        <w:t>«Наименование РЭС» - РЭС филиала ДЗО ПАО «Россети» в ведении, которого находится объект автоматизации;</w:t>
      </w:r>
    </w:p>
    <w:p>
      <w:pPr>
        <w:pStyle w:val="Normal"/>
        <w:numPr>
          <w:ilvl w:val="0"/>
          <w:numId w:val="10"/>
        </w:numPr>
        <w:tabs>
          <w:tab w:val="clear" w:pos="709"/>
          <w:tab w:val="left" w:pos="993" w:leader="none"/>
        </w:tabs>
        <w:ind w:firstLine="709" w:left="0"/>
        <w:jc w:val="both"/>
        <w:rPr>
          <w:sz w:val="26"/>
          <w:szCs w:val="26"/>
        </w:rPr>
      </w:pPr>
      <w:r>
        <w:rPr>
          <w:sz w:val="26"/>
          <w:szCs w:val="26"/>
        </w:rPr>
        <w:t>«Центр питания» - подстанция 110/35/6-20 кВ, от которой запитана трансформаторная ПС;</w:t>
      </w:r>
    </w:p>
    <w:p>
      <w:pPr>
        <w:pStyle w:val="Normal"/>
        <w:numPr>
          <w:ilvl w:val="0"/>
          <w:numId w:val="10"/>
        </w:numPr>
        <w:tabs>
          <w:tab w:val="clear" w:pos="709"/>
          <w:tab w:val="left" w:pos="993" w:leader="none"/>
        </w:tabs>
        <w:ind w:firstLine="709" w:left="0"/>
        <w:jc w:val="both"/>
        <w:rPr>
          <w:sz w:val="26"/>
          <w:szCs w:val="26"/>
        </w:rPr>
      </w:pPr>
      <w:r>
        <w:rPr>
          <w:sz w:val="26"/>
          <w:szCs w:val="26"/>
        </w:rPr>
        <w:t>«Фидер 6-20 кВ №» - порядковый номер линии электропередачи, отходящей от ПС 110/35/6-20 кВ объекта автоматизации;</w:t>
      </w:r>
    </w:p>
    <w:p>
      <w:pPr>
        <w:pStyle w:val="Normal"/>
        <w:numPr>
          <w:ilvl w:val="0"/>
          <w:numId w:val="10"/>
        </w:numPr>
        <w:tabs>
          <w:tab w:val="clear" w:pos="709"/>
          <w:tab w:val="left" w:pos="993" w:leader="none"/>
        </w:tabs>
        <w:ind w:firstLine="709" w:left="0"/>
        <w:jc w:val="both"/>
        <w:rPr>
          <w:sz w:val="26"/>
          <w:szCs w:val="26"/>
        </w:rPr>
      </w:pPr>
      <w:r>
        <w:rPr>
          <w:sz w:val="26"/>
          <w:szCs w:val="26"/>
        </w:rPr>
        <w:t>«Трансформаторная ПС» - подстанция 6-10 кВ, от которой запитана по нормальной схеме ТП 6-20/0,4 кВ объекта автоматизации;</w:t>
      </w:r>
    </w:p>
    <w:p>
      <w:pPr>
        <w:pStyle w:val="Normal"/>
        <w:numPr>
          <w:ilvl w:val="0"/>
          <w:numId w:val="10"/>
        </w:numPr>
        <w:tabs>
          <w:tab w:val="clear" w:pos="709"/>
          <w:tab w:val="left" w:pos="993" w:leader="none"/>
        </w:tabs>
        <w:ind w:firstLine="709" w:left="0"/>
        <w:jc w:val="both"/>
        <w:rPr>
          <w:sz w:val="26"/>
          <w:szCs w:val="26"/>
        </w:rPr>
      </w:pPr>
      <w:r>
        <w:rPr>
          <w:sz w:val="26"/>
          <w:szCs w:val="26"/>
        </w:rPr>
        <w:t>«Тип трансформаторной ПС» - вариант конструктивного исполнения ТП 6-20/ 0,4 кВ объекта автоматизации;</w:t>
      </w:r>
    </w:p>
    <w:p>
      <w:pPr>
        <w:pStyle w:val="Normal"/>
        <w:numPr>
          <w:ilvl w:val="0"/>
          <w:numId w:val="10"/>
        </w:numPr>
        <w:tabs>
          <w:tab w:val="clear" w:pos="709"/>
          <w:tab w:val="left" w:pos="993" w:leader="none"/>
        </w:tabs>
        <w:ind w:firstLine="709" w:left="0"/>
        <w:jc w:val="both"/>
        <w:rPr>
          <w:sz w:val="26"/>
          <w:szCs w:val="26"/>
        </w:rPr>
      </w:pPr>
      <w:r>
        <w:rPr>
          <w:sz w:val="26"/>
          <w:szCs w:val="26"/>
        </w:rPr>
        <w:t>«№ ТП 6-20/0,4 кВ» - номер (наименование) присвоенный филиалом ДЗО ПАО «Россети» для ТП 6-20/0,4 кВ объекта автоматизации;</w:t>
      </w:r>
    </w:p>
    <w:p>
      <w:pPr>
        <w:pStyle w:val="Normal"/>
        <w:numPr>
          <w:ilvl w:val="0"/>
          <w:numId w:val="10"/>
        </w:numPr>
        <w:tabs>
          <w:tab w:val="clear" w:pos="709"/>
          <w:tab w:val="left" w:pos="993" w:leader="none"/>
        </w:tabs>
        <w:ind w:firstLine="709" w:left="0"/>
        <w:jc w:val="both"/>
        <w:rPr>
          <w:sz w:val="26"/>
          <w:szCs w:val="26"/>
        </w:rPr>
      </w:pPr>
      <w:r>
        <w:rPr>
          <w:sz w:val="26"/>
          <w:szCs w:val="26"/>
        </w:rPr>
        <w:t>«Фидер 0,4 №» - порядковый номер линии электропередач, отходящей от ТП 6-20/0,4 кВ объекта автоматизации;</w:t>
      </w:r>
    </w:p>
    <w:p>
      <w:pPr>
        <w:pStyle w:val="Normal"/>
        <w:numPr>
          <w:ilvl w:val="0"/>
          <w:numId w:val="10"/>
        </w:numPr>
        <w:tabs>
          <w:tab w:val="clear" w:pos="709"/>
          <w:tab w:val="left" w:pos="993" w:leader="none"/>
        </w:tabs>
        <w:ind w:firstLine="709" w:left="0"/>
        <w:jc w:val="both"/>
        <w:rPr>
          <w:sz w:val="26"/>
          <w:szCs w:val="26"/>
        </w:rPr>
      </w:pPr>
      <w:r>
        <w:rPr>
          <w:sz w:val="26"/>
          <w:szCs w:val="26"/>
        </w:rPr>
        <w:t>«Нас. Пункт» - название населенного пункта, в котором установлен ПУ;</w:t>
      </w:r>
    </w:p>
    <w:p>
      <w:pPr>
        <w:pStyle w:val="Normal"/>
        <w:numPr>
          <w:ilvl w:val="0"/>
          <w:numId w:val="10"/>
        </w:numPr>
        <w:tabs>
          <w:tab w:val="clear" w:pos="709"/>
          <w:tab w:val="left" w:pos="1134" w:leader="none"/>
        </w:tabs>
        <w:ind w:firstLine="709" w:left="0"/>
        <w:jc w:val="both"/>
        <w:rPr>
          <w:sz w:val="26"/>
          <w:szCs w:val="26"/>
        </w:rPr>
      </w:pPr>
      <w:r>
        <w:rPr>
          <w:sz w:val="26"/>
          <w:szCs w:val="26"/>
        </w:rPr>
        <w:t>«Улица» - название улицы населенного пункта, в котором установлен ПУ;</w:t>
      </w:r>
    </w:p>
    <w:p>
      <w:pPr>
        <w:pStyle w:val="Normal"/>
        <w:numPr>
          <w:ilvl w:val="0"/>
          <w:numId w:val="10"/>
        </w:numPr>
        <w:tabs>
          <w:tab w:val="clear" w:pos="709"/>
          <w:tab w:val="left" w:pos="1134" w:leader="none"/>
        </w:tabs>
        <w:ind w:firstLine="709" w:left="0"/>
        <w:jc w:val="both"/>
        <w:rPr>
          <w:sz w:val="26"/>
          <w:szCs w:val="26"/>
        </w:rPr>
      </w:pPr>
      <w:r>
        <w:rPr>
          <w:sz w:val="26"/>
          <w:szCs w:val="26"/>
        </w:rPr>
        <w:t>«№ дома» - номер дома улицы населенного пункта (или квартиры), в котором установлен ПУ;</w:t>
      </w:r>
    </w:p>
    <w:p>
      <w:pPr>
        <w:pStyle w:val="Normal"/>
        <w:numPr>
          <w:ilvl w:val="0"/>
          <w:numId w:val="10"/>
        </w:numPr>
        <w:tabs>
          <w:tab w:val="clear" w:pos="709"/>
          <w:tab w:val="left" w:pos="1134" w:leader="none"/>
        </w:tabs>
        <w:ind w:firstLine="709" w:left="0"/>
        <w:jc w:val="both"/>
        <w:rPr>
          <w:sz w:val="26"/>
          <w:szCs w:val="26"/>
        </w:rPr>
      </w:pPr>
      <w:r>
        <w:rPr>
          <w:sz w:val="26"/>
          <w:szCs w:val="26"/>
        </w:rPr>
        <w:t>«ФИО потребителя (наименование юр. Потреб.)» - фамилия имя отчество потребителя - физического лица (наименование потребителя - юридического лица);</w:t>
      </w:r>
    </w:p>
    <w:p>
      <w:pPr>
        <w:pStyle w:val="Normal"/>
        <w:numPr>
          <w:ilvl w:val="0"/>
          <w:numId w:val="10"/>
        </w:numPr>
        <w:tabs>
          <w:tab w:val="clear" w:pos="709"/>
          <w:tab w:val="left" w:pos="1134" w:leader="none"/>
        </w:tabs>
        <w:jc w:val="both"/>
        <w:rPr>
          <w:sz w:val="26"/>
          <w:szCs w:val="26"/>
        </w:rPr>
      </w:pPr>
      <w:r>
        <w:rPr>
          <w:sz w:val="26"/>
          <w:szCs w:val="26"/>
        </w:rPr>
        <w:t xml:space="preserve"> </w:t>
      </w:r>
      <w:r>
        <w:rPr>
          <w:sz w:val="26"/>
          <w:szCs w:val="26"/>
        </w:rPr>
        <w:t>«Статус» -  юридическое или физическое лицо;</w:t>
      </w:r>
    </w:p>
    <w:p>
      <w:pPr>
        <w:pStyle w:val="Normal"/>
        <w:numPr>
          <w:ilvl w:val="0"/>
          <w:numId w:val="10"/>
        </w:numPr>
        <w:tabs>
          <w:tab w:val="clear" w:pos="709"/>
          <w:tab w:val="left" w:pos="1134" w:leader="none"/>
        </w:tabs>
        <w:ind w:firstLine="709" w:left="0"/>
        <w:jc w:val="both"/>
        <w:rPr>
          <w:sz w:val="26"/>
          <w:szCs w:val="26"/>
        </w:rPr>
      </w:pPr>
      <w:r>
        <w:rPr>
          <w:sz w:val="26"/>
          <w:szCs w:val="26"/>
        </w:rPr>
        <w:t>«Объект учета» - например: физ. лицо, юр. лицо, балансирующий;</w:t>
      </w:r>
    </w:p>
    <w:p>
      <w:pPr>
        <w:pStyle w:val="Normal"/>
        <w:numPr>
          <w:ilvl w:val="0"/>
          <w:numId w:val="10"/>
        </w:numPr>
        <w:tabs>
          <w:tab w:val="clear" w:pos="709"/>
          <w:tab w:val="left" w:pos="1134" w:leader="none"/>
        </w:tabs>
        <w:ind w:firstLine="709" w:left="0"/>
        <w:jc w:val="both"/>
        <w:rPr>
          <w:sz w:val="26"/>
          <w:szCs w:val="26"/>
        </w:rPr>
      </w:pPr>
      <w:r>
        <w:rPr>
          <w:sz w:val="26"/>
          <w:szCs w:val="26"/>
        </w:rPr>
        <w:t>«Вариант проектного решения» - техническое решение, примененное для организации учета;</w:t>
      </w:r>
    </w:p>
    <w:p>
      <w:pPr>
        <w:pStyle w:val="Normal"/>
        <w:numPr>
          <w:ilvl w:val="0"/>
          <w:numId w:val="10"/>
        </w:numPr>
        <w:tabs>
          <w:tab w:val="clear" w:pos="709"/>
          <w:tab w:val="left" w:pos="1134" w:leader="none"/>
        </w:tabs>
        <w:ind w:firstLine="709" w:left="0"/>
        <w:jc w:val="both"/>
        <w:rPr>
          <w:sz w:val="26"/>
          <w:szCs w:val="26"/>
        </w:rPr>
      </w:pPr>
      <w:r>
        <w:rPr>
          <w:sz w:val="26"/>
          <w:szCs w:val="26"/>
        </w:rPr>
        <w:t>«Тип прибора учета» - тип ПУ, использованного для организации учета;</w:t>
      </w:r>
    </w:p>
    <w:p>
      <w:pPr>
        <w:pStyle w:val="Normal"/>
        <w:numPr>
          <w:ilvl w:val="0"/>
          <w:numId w:val="10"/>
        </w:numPr>
        <w:tabs>
          <w:tab w:val="clear" w:pos="709"/>
          <w:tab w:val="left" w:pos="1134" w:leader="none"/>
        </w:tabs>
        <w:ind w:firstLine="709" w:left="0"/>
        <w:jc w:val="both"/>
        <w:rPr>
          <w:sz w:val="26"/>
          <w:szCs w:val="26"/>
        </w:rPr>
      </w:pPr>
      <w:r>
        <w:rPr>
          <w:sz w:val="26"/>
          <w:szCs w:val="26"/>
        </w:rPr>
        <w:t>«Способ передачи данных на ИВК/ИВКЭ» - способ передачи данных: «-»/</w:t>
      </w:r>
      <w:r>
        <w:rPr>
          <w:sz w:val="26"/>
          <w:szCs w:val="26"/>
          <w:lang w:val="en-US"/>
        </w:rPr>
        <w:t>RS</w:t>
      </w:r>
      <w:r>
        <w:rPr>
          <w:sz w:val="26"/>
          <w:szCs w:val="26"/>
        </w:rPr>
        <w:t>-485/</w:t>
      </w:r>
      <w:r>
        <w:rPr>
          <w:sz w:val="26"/>
          <w:szCs w:val="26"/>
          <w:lang w:val="en-US"/>
        </w:rPr>
        <w:t>RF</w:t>
      </w:r>
      <w:r>
        <w:rPr>
          <w:sz w:val="26"/>
          <w:szCs w:val="26"/>
        </w:rPr>
        <w:t>/</w:t>
      </w:r>
      <w:r>
        <w:rPr>
          <w:sz w:val="26"/>
          <w:szCs w:val="26"/>
          <w:lang w:val="en-US"/>
        </w:rPr>
        <w:t>PLC</w:t>
      </w:r>
      <w:r>
        <w:rPr>
          <w:sz w:val="26"/>
          <w:szCs w:val="26"/>
        </w:rPr>
        <w:t>/</w:t>
      </w:r>
      <w:r>
        <w:rPr>
          <w:sz w:val="26"/>
          <w:szCs w:val="26"/>
          <w:lang w:val="en-US"/>
        </w:rPr>
        <w:t>LPWAN</w:t>
      </w:r>
      <w:r>
        <w:rPr>
          <w:sz w:val="26"/>
          <w:szCs w:val="26"/>
        </w:rPr>
        <w:t>/</w:t>
      </w:r>
      <w:r>
        <w:rPr>
          <w:sz w:val="26"/>
          <w:szCs w:val="26"/>
          <w:lang w:val="en-US"/>
        </w:rPr>
        <w:t>GPRS</w:t>
      </w:r>
      <w:r>
        <w:rPr>
          <w:sz w:val="26"/>
          <w:szCs w:val="26"/>
        </w:rPr>
        <w:t>… и т.д.</w:t>
      </w:r>
    </w:p>
    <w:p>
      <w:pPr>
        <w:pStyle w:val="Normal"/>
        <w:numPr>
          <w:ilvl w:val="0"/>
          <w:numId w:val="10"/>
        </w:numPr>
        <w:tabs>
          <w:tab w:val="clear" w:pos="709"/>
          <w:tab w:val="left" w:pos="1134" w:leader="none"/>
        </w:tabs>
        <w:ind w:firstLine="709" w:left="0"/>
        <w:jc w:val="both"/>
        <w:rPr>
          <w:sz w:val="26"/>
          <w:szCs w:val="26"/>
        </w:rPr>
      </w:pPr>
      <w:r>
        <w:rPr>
          <w:sz w:val="26"/>
          <w:szCs w:val="26"/>
        </w:rPr>
        <w:t>«№прибора учета» - серийный номер ПУ, использованного для организации учета;</w:t>
      </w:r>
    </w:p>
    <w:p>
      <w:pPr>
        <w:pStyle w:val="Normal"/>
        <w:numPr>
          <w:ilvl w:val="0"/>
          <w:numId w:val="10"/>
        </w:numPr>
        <w:tabs>
          <w:tab w:val="clear" w:pos="709"/>
          <w:tab w:val="left" w:pos="1134" w:leader="none"/>
        </w:tabs>
        <w:ind w:firstLine="709" w:left="0"/>
        <w:jc w:val="both"/>
        <w:rPr>
          <w:sz w:val="26"/>
          <w:szCs w:val="26"/>
        </w:rPr>
      </w:pPr>
      <w:r>
        <w:rPr>
          <w:sz w:val="26"/>
          <w:szCs w:val="26"/>
        </w:rPr>
        <w:t>«Дата установки» - день, месяц и год, когда был смонтирован ПУ;</w:t>
      </w:r>
    </w:p>
    <w:p>
      <w:pPr>
        <w:pStyle w:val="Normal"/>
        <w:numPr>
          <w:ilvl w:val="0"/>
          <w:numId w:val="10"/>
        </w:numPr>
        <w:tabs>
          <w:tab w:val="clear" w:pos="709"/>
          <w:tab w:val="left" w:pos="1134" w:leader="none"/>
        </w:tabs>
        <w:ind w:firstLine="709" w:left="0"/>
        <w:jc w:val="both"/>
        <w:rPr>
          <w:sz w:val="26"/>
          <w:szCs w:val="26"/>
        </w:rPr>
      </w:pPr>
      <w:r>
        <w:rPr>
          <w:sz w:val="26"/>
          <w:szCs w:val="26"/>
        </w:rPr>
        <w:t>«Тип ТТ» - тип ТТ, использованных для организации учета;</w:t>
      </w:r>
    </w:p>
    <w:p>
      <w:pPr>
        <w:pStyle w:val="Normal"/>
        <w:numPr>
          <w:ilvl w:val="0"/>
          <w:numId w:val="10"/>
        </w:numPr>
        <w:tabs>
          <w:tab w:val="clear" w:pos="709"/>
          <w:tab w:val="left" w:pos="1134" w:leader="none"/>
        </w:tabs>
        <w:ind w:firstLine="709" w:left="0"/>
        <w:jc w:val="both"/>
        <w:rPr>
          <w:sz w:val="26"/>
          <w:szCs w:val="26"/>
        </w:rPr>
      </w:pPr>
      <w:r>
        <w:rPr>
          <w:sz w:val="26"/>
          <w:szCs w:val="26"/>
        </w:rPr>
        <w:t>«№ ТТ фаза А» - серийный номер ТТ, установленного на шину (кабель) фазы А;</w:t>
      </w:r>
    </w:p>
    <w:p>
      <w:pPr>
        <w:pStyle w:val="Normal"/>
        <w:numPr>
          <w:ilvl w:val="0"/>
          <w:numId w:val="10"/>
        </w:numPr>
        <w:tabs>
          <w:tab w:val="clear" w:pos="709"/>
          <w:tab w:val="left" w:pos="1134" w:leader="none"/>
        </w:tabs>
        <w:ind w:firstLine="709" w:left="0"/>
        <w:jc w:val="both"/>
        <w:rPr>
          <w:sz w:val="26"/>
          <w:szCs w:val="26"/>
        </w:rPr>
      </w:pPr>
      <w:r>
        <w:rPr>
          <w:sz w:val="26"/>
          <w:szCs w:val="26"/>
        </w:rPr>
        <w:t>«№ ТТ фаза В» - серийный номер ТТ, установленного на шину (кабель) фазы В;</w:t>
      </w:r>
    </w:p>
    <w:p>
      <w:pPr>
        <w:pStyle w:val="Normal"/>
        <w:numPr>
          <w:ilvl w:val="0"/>
          <w:numId w:val="10"/>
        </w:numPr>
        <w:tabs>
          <w:tab w:val="clear" w:pos="709"/>
          <w:tab w:val="left" w:pos="1134" w:leader="none"/>
        </w:tabs>
        <w:ind w:firstLine="709" w:left="0"/>
        <w:jc w:val="both"/>
        <w:rPr>
          <w:sz w:val="26"/>
          <w:szCs w:val="26"/>
        </w:rPr>
      </w:pPr>
      <w:r>
        <w:rPr>
          <w:sz w:val="26"/>
          <w:szCs w:val="26"/>
        </w:rPr>
        <w:t>«№ ТТ фаза С» - серийный номер ТТ, установленного на шину (кабель) фазы С;</w:t>
      </w:r>
    </w:p>
    <w:p>
      <w:pPr>
        <w:pStyle w:val="Normal"/>
        <w:numPr>
          <w:ilvl w:val="0"/>
          <w:numId w:val="10"/>
        </w:numPr>
        <w:tabs>
          <w:tab w:val="clear" w:pos="709"/>
          <w:tab w:val="left" w:pos="1134" w:leader="none"/>
        </w:tabs>
        <w:ind w:firstLine="709" w:left="0"/>
        <w:jc w:val="both"/>
        <w:rPr>
          <w:sz w:val="26"/>
          <w:szCs w:val="26"/>
        </w:rPr>
      </w:pPr>
      <w:r>
        <w:rPr>
          <w:sz w:val="26"/>
          <w:szCs w:val="26"/>
        </w:rPr>
        <w:t>«Коэф. ТТ» - соотношение номинального значения силы тока первичной обмотки к номинальному значению силы тока вторичной обмотки (рабочий ток);</w:t>
      </w:r>
    </w:p>
    <w:p>
      <w:pPr>
        <w:pStyle w:val="Normal"/>
        <w:numPr>
          <w:ilvl w:val="0"/>
          <w:numId w:val="10"/>
        </w:numPr>
        <w:tabs>
          <w:tab w:val="clear" w:pos="709"/>
          <w:tab w:val="left" w:pos="1134" w:leader="none"/>
        </w:tabs>
        <w:ind w:firstLine="709" w:left="0"/>
        <w:jc w:val="both"/>
        <w:rPr>
          <w:sz w:val="26"/>
          <w:szCs w:val="26"/>
        </w:rPr>
      </w:pPr>
      <w:r>
        <w:rPr>
          <w:sz w:val="26"/>
          <w:szCs w:val="26"/>
        </w:rPr>
        <w:t>«Дата поверки» - квартал и год поверки ТТ.</w:t>
      </w:r>
    </w:p>
    <w:p>
      <w:pPr>
        <w:pStyle w:val="Normal"/>
        <w:ind w:left="709"/>
        <w:jc w:val="both"/>
        <w:rPr>
          <w:sz w:val="26"/>
          <w:szCs w:val="26"/>
        </w:rPr>
      </w:pPr>
      <w:r>
        <w:rPr>
          <w:sz w:val="26"/>
          <w:szCs w:val="26"/>
        </w:rPr>
      </w:r>
    </w:p>
    <w:p>
      <w:pPr>
        <w:pStyle w:val="Normal"/>
        <w:ind w:firstLine="709"/>
        <w:jc w:val="both"/>
        <w:rPr>
          <w:sz w:val="26"/>
          <w:szCs w:val="26"/>
          <w:u w:val="single"/>
        </w:rPr>
      </w:pPr>
      <w:r>
        <w:rPr>
          <w:sz w:val="26"/>
          <w:szCs w:val="26"/>
          <w:u w:val="single"/>
        </w:rPr>
        <w:t>Пояснения к заполнению монтажной ведомости УСПД для ТП:</w:t>
      </w:r>
    </w:p>
    <w:p>
      <w:pPr>
        <w:pStyle w:val="Normal"/>
        <w:numPr>
          <w:ilvl w:val="0"/>
          <w:numId w:val="11"/>
        </w:numPr>
        <w:tabs>
          <w:tab w:val="clear" w:pos="709"/>
          <w:tab w:val="left" w:pos="1134" w:leader="none"/>
        </w:tabs>
        <w:ind w:firstLine="709" w:left="0"/>
        <w:jc w:val="both"/>
        <w:rPr>
          <w:sz w:val="26"/>
          <w:szCs w:val="26"/>
        </w:rPr>
      </w:pPr>
      <w:r>
        <w:rPr>
          <w:sz w:val="26"/>
          <w:szCs w:val="26"/>
        </w:rPr>
        <w:t>«№ п\п» - порядковый номер ПУ;</w:t>
      </w:r>
    </w:p>
    <w:p>
      <w:pPr>
        <w:pStyle w:val="Normal"/>
        <w:numPr>
          <w:ilvl w:val="0"/>
          <w:numId w:val="11"/>
        </w:numPr>
        <w:tabs>
          <w:tab w:val="clear" w:pos="709"/>
          <w:tab w:val="left" w:pos="1134" w:leader="none"/>
        </w:tabs>
        <w:ind w:firstLine="709" w:left="0"/>
        <w:jc w:val="both"/>
        <w:rPr>
          <w:sz w:val="26"/>
          <w:szCs w:val="26"/>
        </w:rPr>
      </w:pPr>
      <w:r>
        <w:rPr>
          <w:sz w:val="26"/>
          <w:szCs w:val="26"/>
        </w:rPr>
        <w:t>«Наименование РЭС» - отделение филиала ДЗО ПАО «Россети», в ведении которого находится объект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«Опорная ПС» - подстанция 6-10 кВ, от которой запитана по нормальной схеме ТП 6-20/0,4 кВ объекта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«Тип центра питания» - вариант конструктивного исполнения ТП 6-20/0,4 кВ объекта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 ТП 6-20/0,4 кВ» - номер (наименование), присвоенный филиалом ДЗО ПАО «Россети» для ТП 6-20/0,4 кВ объекта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 тр-ра» - номер силового трансформатора ТП, к которому подключено УСПД;</w:t>
      </w:r>
    </w:p>
    <w:p>
      <w:pPr>
        <w:pStyle w:val="Normal"/>
        <w:numPr>
          <w:ilvl w:val="0"/>
          <w:numId w:val="11"/>
        </w:numPr>
        <w:tabs>
          <w:tab w:val="clear" w:pos="709"/>
          <w:tab w:val="left" w:pos="1134" w:leader="none"/>
        </w:tabs>
        <w:ind w:firstLine="709" w:left="0"/>
        <w:jc w:val="both"/>
        <w:rPr>
          <w:sz w:val="26"/>
          <w:szCs w:val="26"/>
        </w:rPr>
      </w:pPr>
      <w:r>
        <w:rPr>
          <w:sz w:val="26"/>
          <w:szCs w:val="26"/>
        </w:rPr>
        <w:t>«Тип УСПД» - Используемая модификация УСПД</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 </w:t>
      </w:r>
      <w:r>
        <w:rPr>
          <w:sz w:val="26"/>
          <w:szCs w:val="26"/>
        </w:rPr>
        <w:t xml:space="preserve">«Серийный №» - серийный номер установленного УСПД; </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«Способ передачи данных на ИВК» - способ передачи данных: </w:t>
      </w:r>
      <w:r>
        <w:rPr>
          <w:sz w:val="26"/>
          <w:szCs w:val="26"/>
          <w:lang w:val="en-US"/>
        </w:rPr>
        <w:t>RS</w:t>
      </w:r>
      <w:r>
        <w:rPr>
          <w:sz w:val="26"/>
          <w:szCs w:val="26"/>
        </w:rPr>
        <w:t>-485/</w:t>
      </w:r>
      <w:r>
        <w:rPr>
          <w:sz w:val="26"/>
          <w:szCs w:val="26"/>
          <w:lang w:val="en-US"/>
        </w:rPr>
        <w:t>RS</w:t>
      </w:r>
      <w:r>
        <w:rPr>
          <w:sz w:val="26"/>
          <w:szCs w:val="26"/>
        </w:rPr>
        <w:t>-422/</w:t>
      </w:r>
      <w:r>
        <w:rPr>
          <w:sz w:val="26"/>
          <w:szCs w:val="26"/>
          <w:lang w:val="en-US"/>
        </w:rPr>
        <w:t>LPWAN</w:t>
      </w:r>
      <w:r>
        <w:rPr>
          <w:sz w:val="26"/>
          <w:szCs w:val="26"/>
        </w:rPr>
        <w:t>/</w:t>
      </w:r>
      <w:r>
        <w:rPr>
          <w:sz w:val="26"/>
          <w:szCs w:val="26"/>
          <w:lang w:val="en-US"/>
        </w:rPr>
        <w:t>GPRS</w:t>
      </w:r>
      <w:r>
        <w:rPr>
          <w:sz w:val="26"/>
          <w:szCs w:val="26"/>
        </w:rPr>
        <w:t>/ВОЛС/… и т.д.</w:t>
      </w:r>
    </w:p>
    <w:p>
      <w:pPr>
        <w:pStyle w:val="Normal"/>
        <w:numPr>
          <w:ilvl w:val="0"/>
          <w:numId w:val="11"/>
        </w:numPr>
        <w:tabs>
          <w:tab w:val="clear" w:pos="709"/>
          <w:tab w:val="left" w:pos="1134" w:leader="none"/>
        </w:tabs>
        <w:ind w:firstLine="709" w:left="0"/>
        <w:jc w:val="both"/>
        <w:rPr>
          <w:sz w:val="26"/>
          <w:szCs w:val="26"/>
        </w:rPr>
      </w:pPr>
      <w:r>
        <w:rPr>
          <w:sz w:val="26"/>
          <w:szCs w:val="26"/>
        </w:rPr>
        <w:t>«Внешний модем/коммуникатор» - наличие и тип внешнего модема/ коммуникатора (при наличии), например: «-» /</w:t>
      </w:r>
      <w:r>
        <w:rPr>
          <w:sz w:val="26"/>
          <w:szCs w:val="26"/>
          <w:lang w:val="en-US"/>
        </w:rPr>
        <w:t>DES</w:t>
      </w:r>
      <w:r>
        <w:rPr>
          <w:sz w:val="26"/>
          <w:szCs w:val="26"/>
        </w:rPr>
        <w:t xml:space="preserve"> 1280/</w:t>
      </w:r>
      <w:r>
        <w:rPr>
          <w:sz w:val="26"/>
          <w:szCs w:val="26"/>
          <w:lang w:val="en-US"/>
        </w:rPr>
        <w:t>IRZ</w:t>
      </w:r>
      <w:r>
        <w:rPr>
          <w:sz w:val="26"/>
          <w:szCs w:val="26"/>
        </w:rPr>
        <w:t>/… и т.д.</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  </w:t>
      </w:r>
      <w:r>
        <w:rPr>
          <w:sz w:val="26"/>
          <w:szCs w:val="26"/>
        </w:rPr>
        <w:t>«№ SIM-карты» - телефонный номер, присвоенный оператором мобильной связи для SIM-карты, установленной в смонтированный/ внешний GPRS-модем (при наличии);</w:t>
      </w:r>
    </w:p>
    <w:p>
      <w:pPr>
        <w:pStyle w:val="Normal"/>
        <w:numPr>
          <w:ilvl w:val="0"/>
          <w:numId w:val="11"/>
        </w:numPr>
        <w:tabs>
          <w:tab w:val="clear" w:pos="709"/>
          <w:tab w:val="left" w:pos="1134" w:leader="none"/>
        </w:tabs>
        <w:ind w:firstLine="709" w:left="0"/>
        <w:jc w:val="both"/>
        <w:rPr>
          <w:sz w:val="26"/>
          <w:szCs w:val="26"/>
        </w:rPr>
      </w:pPr>
      <w:r>
        <w:rPr>
          <w:sz w:val="26"/>
          <w:szCs w:val="26"/>
        </w:rPr>
        <w:t>«</w:t>
      </w:r>
      <w:r>
        <w:rPr>
          <w:sz w:val="26"/>
          <w:szCs w:val="26"/>
          <w:lang w:val="en-US"/>
        </w:rPr>
        <w:t>IP</w:t>
      </w:r>
      <w:r>
        <w:rPr>
          <w:sz w:val="26"/>
          <w:szCs w:val="26"/>
        </w:rPr>
        <w:t xml:space="preserve"> адрес УСПД» - </w:t>
      </w:r>
      <w:r>
        <w:rPr>
          <w:sz w:val="26"/>
          <w:szCs w:val="26"/>
          <w:lang w:val="en-US"/>
        </w:rPr>
        <w:t>IP</w:t>
      </w:r>
      <w:r>
        <w:rPr>
          <w:sz w:val="26"/>
          <w:szCs w:val="26"/>
        </w:rPr>
        <w:t xml:space="preserve"> адрес УСПД, заполняется при наличии выделенного </w:t>
      </w:r>
      <w:r>
        <w:rPr>
          <w:sz w:val="26"/>
          <w:szCs w:val="26"/>
          <w:lang w:val="en-US"/>
        </w:rPr>
        <w:t>IP</w:t>
      </w:r>
      <w:r>
        <w:rPr>
          <w:sz w:val="26"/>
          <w:szCs w:val="26"/>
        </w:rPr>
        <w:t>.</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 </w:t>
      </w:r>
      <w:r>
        <w:rPr>
          <w:sz w:val="26"/>
          <w:szCs w:val="26"/>
        </w:rPr>
        <w:t>«Дата установки» - день, месяц и год, когда было смонтировано УСПД.</w:t>
      </w:r>
    </w:p>
    <w:p>
      <w:pPr>
        <w:pStyle w:val="Normal"/>
        <w:tabs>
          <w:tab w:val="clear" w:pos="709"/>
          <w:tab w:val="left" w:pos="1134" w:leader="none"/>
        </w:tabs>
        <w:spacing w:before="120" w:after="200"/>
        <w:contextualSpacing/>
        <w:jc w:val="both"/>
        <w:rPr>
          <w:sz w:val="26"/>
          <w:szCs w:val="26"/>
        </w:rPr>
      </w:pPr>
      <w:r>
        <w:rPr>
          <w:sz w:val="26"/>
          <w:szCs w:val="26"/>
        </w:rPr>
      </w:r>
    </w:p>
    <w:p>
      <w:pPr>
        <w:pStyle w:val="Normal"/>
        <w:ind w:firstLine="709"/>
        <w:jc w:val="both"/>
        <w:rPr>
          <w:sz w:val="26"/>
          <w:szCs w:val="26"/>
          <w:u w:val="single"/>
        </w:rPr>
      </w:pPr>
      <w:r>
        <w:rPr>
          <w:sz w:val="26"/>
          <w:szCs w:val="26"/>
          <w:u w:val="single"/>
        </w:rPr>
        <w:t>Пояснения к заполнению монтажной ведомости УСПД для ПС, РП:</w:t>
      </w:r>
    </w:p>
    <w:p>
      <w:pPr>
        <w:pStyle w:val="Normal"/>
        <w:numPr>
          <w:ilvl w:val="0"/>
          <w:numId w:val="11"/>
        </w:numPr>
        <w:tabs>
          <w:tab w:val="clear" w:pos="709"/>
          <w:tab w:val="left" w:pos="1134" w:leader="none"/>
        </w:tabs>
        <w:ind w:firstLine="709" w:left="0"/>
        <w:jc w:val="both"/>
        <w:rPr>
          <w:sz w:val="26"/>
          <w:szCs w:val="26"/>
        </w:rPr>
      </w:pPr>
      <w:r>
        <w:rPr>
          <w:sz w:val="26"/>
          <w:szCs w:val="26"/>
        </w:rPr>
        <w:t>«№ п\п» - порядковый номер ПУ;</w:t>
      </w:r>
    </w:p>
    <w:p>
      <w:pPr>
        <w:pStyle w:val="Normal"/>
        <w:numPr>
          <w:ilvl w:val="0"/>
          <w:numId w:val="11"/>
        </w:numPr>
        <w:tabs>
          <w:tab w:val="clear" w:pos="709"/>
          <w:tab w:val="left" w:pos="1134" w:leader="none"/>
        </w:tabs>
        <w:ind w:firstLine="709" w:left="0"/>
        <w:jc w:val="both"/>
        <w:rPr>
          <w:sz w:val="26"/>
          <w:szCs w:val="26"/>
        </w:rPr>
      </w:pPr>
      <w:r>
        <w:rPr>
          <w:sz w:val="26"/>
          <w:szCs w:val="26"/>
        </w:rPr>
        <w:t>«Наименование РЭС» - отделение филиала ДЗО ПАО «Россети», в ведении которого находится объект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«Опорная ПС» - подстанция/РП 6/10/35/110 кВ, от которой запитана по нормальной схеме ПС/РП объекта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«Тип центра питания» - вариант конструктивного исполнения ПЦ, РП объекта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 ПЦ/РП» - номер (наименование), присвоенный филиалом ДЗО ПАО «Россети» для ПЦ/РП объекта автоматизации;</w:t>
      </w:r>
    </w:p>
    <w:p>
      <w:pPr>
        <w:pStyle w:val="Normal"/>
        <w:numPr>
          <w:ilvl w:val="0"/>
          <w:numId w:val="11"/>
        </w:numPr>
        <w:tabs>
          <w:tab w:val="clear" w:pos="709"/>
          <w:tab w:val="left" w:pos="1134" w:leader="none"/>
        </w:tabs>
        <w:ind w:firstLine="709" w:left="0"/>
        <w:jc w:val="both"/>
        <w:rPr>
          <w:sz w:val="26"/>
          <w:szCs w:val="26"/>
        </w:rPr>
      </w:pPr>
      <w:r>
        <w:rPr>
          <w:sz w:val="26"/>
          <w:szCs w:val="26"/>
        </w:rPr>
        <w:t>«№ секции» - номер секции, к которой подключено УСПД (при наличии нескольких секций пишутся обе секции, например: СН1, СН2);</w:t>
      </w:r>
    </w:p>
    <w:p>
      <w:pPr>
        <w:pStyle w:val="Normal"/>
        <w:numPr>
          <w:ilvl w:val="0"/>
          <w:numId w:val="11"/>
        </w:numPr>
        <w:tabs>
          <w:tab w:val="clear" w:pos="709"/>
          <w:tab w:val="left" w:pos="1134" w:leader="none"/>
        </w:tabs>
        <w:ind w:firstLine="709" w:left="0"/>
        <w:jc w:val="both"/>
        <w:rPr>
          <w:sz w:val="26"/>
          <w:szCs w:val="26"/>
        </w:rPr>
      </w:pPr>
      <w:r>
        <w:rPr>
          <w:sz w:val="26"/>
          <w:szCs w:val="26"/>
        </w:rPr>
        <w:t>«Тип УСПД» - Используемая модификация УСПД</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 </w:t>
      </w:r>
      <w:r>
        <w:rPr>
          <w:sz w:val="26"/>
          <w:szCs w:val="26"/>
        </w:rPr>
        <w:t xml:space="preserve">«Серийный №» - серийный номер установленного УСПД; </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«Способ передачи данных на ИВК» - способ передачи данных: </w:t>
      </w:r>
      <w:r>
        <w:rPr>
          <w:sz w:val="26"/>
          <w:szCs w:val="26"/>
          <w:lang w:val="en-US"/>
        </w:rPr>
        <w:t>RS</w:t>
      </w:r>
      <w:r>
        <w:rPr>
          <w:sz w:val="26"/>
          <w:szCs w:val="26"/>
        </w:rPr>
        <w:t>-485/</w:t>
      </w:r>
      <w:r>
        <w:rPr>
          <w:sz w:val="26"/>
          <w:szCs w:val="26"/>
          <w:lang w:val="en-US"/>
        </w:rPr>
        <w:t>RS</w:t>
      </w:r>
      <w:r>
        <w:rPr>
          <w:sz w:val="26"/>
          <w:szCs w:val="26"/>
        </w:rPr>
        <w:t>-422/</w:t>
      </w:r>
      <w:r>
        <w:rPr>
          <w:sz w:val="26"/>
          <w:szCs w:val="26"/>
          <w:lang w:val="en-US"/>
        </w:rPr>
        <w:t>LPWAN</w:t>
      </w:r>
      <w:r>
        <w:rPr>
          <w:sz w:val="26"/>
          <w:szCs w:val="26"/>
        </w:rPr>
        <w:t>/</w:t>
      </w:r>
      <w:r>
        <w:rPr>
          <w:sz w:val="26"/>
          <w:szCs w:val="26"/>
          <w:lang w:val="en-US"/>
        </w:rPr>
        <w:t>GPRS</w:t>
      </w:r>
      <w:r>
        <w:rPr>
          <w:sz w:val="26"/>
          <w:szCs w:val="26"/>
        </w:rPr>
        <w:t>/ВОЛС/… и т.д.</w:t>
      </w:r>
    </w:p>
    <w:p>
      <w:pPr>
        <w:pStyle w:val="Normal"/>
        <w:numPr>
          <w:ilvl w:val="0"/>
          <w:numId w:val="11"/>
        </w:numPr>
        <w:tabs>
          <w:tab w:val="clear" w:pos="709"/>
          <w:tab w:val="left" w:pos="1134" w:leader="none"/>
        </w:tabs>
        <w:ind w:firstLine="709" w:left="0"/>
        <w:jc w:val="both"/>
        <w:rPr>
          <w:sz w:val="26"/>
          <w:szCs w:val="26"/>
        </w:rPr>
      </w:pPr>
      <w:r>
        <w:rPr>
          <w:sz w:val="26"/>
          <w:szCs w:val="26"/>
        </w:rPr>
        <w:t>«Внешний модем/коммуникатор» - наличие и тип внешнего модема/ коммуникатора (при наличии), например: «-» /</w:t>
      </w:r>
      <w:r>
        <w:rPr>
          <w:sz w:val="26"/>
          <w:szCs w:val="26"/>
          <w:lang w:val="en-US"/>
        </w:rPr>
        <w:t>DES</w:t>
      </w:r>
      <w:r>
        <w:rPr>
          <w:sz w:val="26"/>
          <w:szCs w:val="26"/>
        </w:rPr>
        <w:t xml:space="preserve"> 1280/</w:t>
      </w:r>
      <w:r>
        <w:rPr>
          <w:sz w:val="26"/>
          <w:szCs w:val="26"/>
          <w:lang w:val="en-US"/>
        </w:rPr>
        <w:t>IRZ</w:t>
      </w:r>
      <w:r>
        <w:rPr>
          <w:sz w:val="26"/>
          <w:szCs w:val="26"/>
        </w:rPr>
        <w:t>/… и т.д.</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  </w:t>
      </w:r>
      <w:r>
        <w:rPr>
          <w:sz w:val="26"/>
          <w:szCs w:val="26"/>
        </w:rPr>
        <w:t>«№ SIM-карты» - телефонный номер, присвоенный оператором мобильной связи для SIM-карты, установленной в смонтированный/ внешний GPRS-модем (при наличии);</w:t>
      </w:r>
    </w:p>
    <w:p>
      <w:pPr>
        <w:pStyle w:val="Normal"/>
        <w:numPr>
          <w:ilvl w:val="0"/>
          <w:numId w:val="11"/>
        </w:numPr>
        <w:tabs>
          <w:tab w:val="clear" w:pos="709"/>
          <w:tab w:val="left" w:pos="1134" w:leader="none"/>
        </w:tabs>
        <w:ind w:firstLine="709" w:left="0"/>
        <w:jc w:val="both"/>
        <w:rPr>
          <w:sz w:val="26"/>
          <w:szCs w:val="26"/>
        </w:rPr>
      </w:pPr>
      <w:r>
        <w:rPr>
          <w:sz w:val="26"/>
          <w:szCs w:val="26"/>
        </w:rPr>
        <w:t>«</w:t>
      </w:r>
      <w:r>
        <w:rPr>
          <w:sz w:val="26"/>
          <w:szCs w:val="26"/>
          <w:lang w:val="en-US"/>
        </w:rPr>
        <w:t>IP</w:t>
      </w:r>
      <w:r>
        <w:rPr>
          <w:sz w:val="26"/>
          <w:szCs w:val="26"/>
        </w:rPr>
        <w:t xml:space="preserve"> адрес УСПД» - </w:t>
      </w:r>
      <w:r>
        <w:rPr>
          <w:sz w:val="26"/>
          <w:szCs w:val="26"/>
          <w:lang w:val="en-US"/>
        </w:rPr>
        <w:t>IP</w:t>
      </w:r>
      <w:r>
        <w:rPr>
          <w:sz w:val="26"/>
          <w:szCs w:val="26"/>
        </w:rPr>
        <w:t xml:space="preserve"> адрес УСПД, заполняется при наличии выделенного </w:t>
      </w:r>
      <w:r>
        <w:rPr>
          <w:sz w:val="26"/>
          <w:szCs w:val="26"/>
          <w:lang w:val="en-US"/>
        </w:rPr>
        <w:t>IP</w:t>
      </w:r>
      <w:r>
        <w:rPr>
          <w:sz w:val="26"/>
          <w:szCs w:val="26"/>
        </w:rPr>
        <w:t>.</w:t>
      </w:r>
    </w:p>
    <w:p>
      <w:pPr>
        <w:pStyle w:val="Normal"/>
        <w:numPr>
          <w:ilvl w:val="0"/>
          <w:numId w:val="11"/>
        </w:numPr>
        <w:tabs>
          <w:tab w:val="clear" w:pos="709"/>
          <w:tab w:val="left" w:pos="1134" w:leader="none"/>
        </w:tabs>
        <w:ind w:firstLine="709" w:left="0"/>
        <w:jc w:val="both"/>
        <w:rPr>
          <w:sz w:val="26"/>
          <w:szCs w:val="26"/>
        </w:rPr>
      </w:pPr>
      <w:r>
        <w:rPr>
          <w:sz w:val="26"/>
          <w:szCs w:val="26"/>
        </w:rPr>
        <w:t xml:space="preserve"> </w:t>
      </w:r>
      <w:r>
        <w:rPr>
          <w:sz w:val="26"/>
          <w:szCs w:val="26"/>
        </w:rPr>
        <w:t>«Дата установки» - день, месяц и год, когда было смонтировано УСПД.</w:t>
      </w:r>
    </w:p>
    <w:p>
      <w:pPr>
        <w:pStyle w:val="Normal"/>
        <w:spacing w:before="120" w:after="200"/>
        <w:contextualSpacing/>
        <w:jc w:val="both"/>
        <w:rPr>
          <w:sz w:val="26"/>
          <w:szCs w:val="26"/>
        </w:rPr>
      </w:pPr>
      <w:r>
        <w:rPr>
          <w:sz w:val="26"/>
          <w:szCs w:val="26"/>
        </w:rPr>
      </w:r>
      <w:r>
        <w:br w:type="page"/>
      </w:r>
    </w:p>
    <w:p>
      <w:pPr>
        <w:pStyle w:val="Normal"/>
        <w:spacing w:before="0" w:after="0"/>
        <w:ind w:left="5812"/>
        <w:jc w:val="both"/>
        <w:rPr/>
      </w:pPr>
      <w:r>
        <w:rPr/>
        <w:t>Приложение 4</w:t>
      </w:r>
    </w:p>
    <w:p>
      <w:pPr>
        <w:pStyle w:val="Normal"/>
        <w:ind w:left="5812"/>
        <w:jc w:val="both"/>
        <w:rPr/>
      </w:pPr>
      <w:r>
        <w:rPr/>
        <w:t>к типовому техническому заданию</w:t>
      </w:r>
    </w:p>
    <w:p>
      <w:pPr>
        <w:pStyle w:val="Normal"/>
        <w:ind w:left="5812"/>
        <w:rPr/>
      </w:pPr>
      <w:r>
        <w:rPr/>
        <w:t>(в электронном виде)</w:t>
      </w:r>
    </w:p>
    <w:p>
      <w:pPr>
        <w:pStyle w:val="Normal"/>
        <w:ind w:left="5812"/>
        <w:jc w:val="both"/>
        <w:rPr/>
      </w:pPr>
      <w:r>
        <w:rPr/>
      </w:r>
    </w:p>
    <w:p>
      <w:pPr>
        <w:pStyle w:val="Normal"/>
        <w:rPr/>
      </w:pPr>
      <w:r>
        <w:rPr/>
      </w:r>
    </w:p>
    <w:p>
      <w:pPr>
        <w:pStyle w:val="Normal"/>
        <w:rPr/>
      </w:pPr>
      <w:r>
        <w:rPr/>
      </w:r>
    </w:p>
    <w:p>
      <w:pPr>
        <w:pStyle w:val="Normal"/>
        <w:rPr/>
      </w:pPr>
      <w:r>
        <w:rPr/>
      </w:r>
    </w:p>
    <w:p>
      <w:pPr>
        <w:pStyle w:val="Normal"/>
        <w:rPr/>
      </w:pPr>
      <w:r>
        <w:rPr/>
      </w:r>
    </w:p>
    <w:p>
      <w:pPr>
        <w:pStyle w:val="Normal"/>
        <w:jc w:val="center"/>
        <w:rPr>
          <w:b/>
          <w:sz w:val="28"/>
        </w:rPr>
      </w:pPr>
      <w:r>
        <w:rPr>
          <w:b/>
          <w:sz w:val="28"/>
        </w:rPr>
        <w:t>Типовые технические решения ПАО «Россети» по организации учета электроэнергии</w:t>
      </w:r>
    </w:p>
    <w:p>
      <w:pPr>
        <w:pStyle w:val="Normal"/>
        <w:jc w:val="center"/>
        <w:rPr>
          <w:b/>
          <w:sz w:val="28"/>
        </w:rPr>
      </w:pPr>
      <w:r>
        <w:rPr>
          <w:b/>
          <w:sz w:val="28"/>
        </w:rPr>
      </w:r>
      <w:r>
        <w:br w:type="page"/>
      </w:r>
    </w:p>
    <w:p>
      <w:pPr>
        <w:pStyle w:val="Normal"/>
        <w:spacing w:before="0" w:after="0"/>
        <w:ind w:left="5812"/>
        <w:jc w:val="both"/>
        <w:rPr/>
      </w:pPr>
      <w:r>
        <w:rPr/>
        <w:t>Приложение 5</w:t>
      </w:r>
    </w:p>
    <w:p>
      <w:pPr>
        <w:pStyle w:val="Normal"/>
        <w:ind w:left="5812"/>
        <w:jc w:val="both"/>
        <w:rPr/>
      </w:pPr>
      <w:r>
        <w:rPr/>
        <w:t>к типовому техническому заданию</w:t>
      </w:r>
    </w:p>
    <w:p>
      <w:pPr>
        <w:pStyle w:val="Normal"/>
        <w:ind w:left="5812"/>
        <w:rPr/>
      </w:pPr>
      <w:r>
        <w:rPr/>
        <w:t>(в электронном виде)</w:t>
      </w:r>
    </w:p>
    <w:p>
      <w:pPr>
        <w:pStyle w:val="Normal"/>
        <w:ind w:left="5812"/>
        <w:jc w:val="both"/>
        <w:rPr/>
      </w:pPr>
      <w:r>
        <w:rPr/>
      </w:r>
    </w:p>
    <w:p>
      <w:pPr>
        <w:pStyle w:val="Normal"/>
        <w:rPr/>
      </w:pPr>
      <w:r>
        <w:rPr/>
      </w:r>
    </w:p>
    <w:p>
      <w:pPr>
        <w:pStyle w:val="Normal"/>
        <w:rPr/>
      </w:pPr>
      <w:r>
        <w:rPr/>
      </w:r>
    </w:p>
    <w:p>
      <w:pPr>
        <w:pStyle w:val="Normal"/>
        <w:rPr/>
      </w:pPr>
      <w:r>
        <w:rPr/>
      </w:r>
    </w:p>
    <w:p>
      <w:pPr>
        <w:pStyle w:val="Normal"/>
        <w:rPr/>
      </w:pPr>
      <w:r>
        <w:rPr/>
      </w:r>
    </w:p>
    <w:p>
      <w:pPr>
        <w:pStyle w:val="Normal"/>
        <w:jc w:val="center"/>
        <w:rPr>
          <w:i/>
          <w:i/>
          <w:sz w:val="28"/>
        </w:rPr>
      </w:pPr>
      <w:r>
        <w:rPr>
          <w:b/>
          <w:sz w:val="28"/>
        </w:rPr>
        <w:t>Формат Программы и методики испытаний</w:t>
      </w:r>
    </w:p>
    <w:p>
      <w:pPr>
        <w:pStyle w:val="Normal"/>
        <w:jc w:val="center"/>
        <w:rPr>
          <w:b/>
          <w:sz w:val="28"/>
        </w:rPr>
      </w:pPr>
      <w:r>
        <w:rPr>
          <w:b/>
          <w:sz w:val="28"/>
        </w:rPr>
      </w:r>
    </w:p>
    <w:p>
      <w:pPr>
        <w:pStyle w:val="Normal"/>
        <w:jc w:val="center"/>
        <w:rPr>
          <w:b/>
          <w:sz w:val="28"/>
        </w:rPr>
      </w:pPr>
      <w:r>
        <w:rPr>
          <w:b/>
          <w:sz w:val="28"/>
        </w:rPr>
      </w:r>
      <w:r>
        <w:br w:type="page"/>
      </w:r>
    </w:p>
    <w:p>
      <w:pPr>
        <w:pStyle w:val="Normal"/>
        <w:spacing w:before="0" w:after="0"/>
        <w:ind w:left="5812"/>
        <w:jc w:val="both"/>
        <w:rPr/>
      </w:pPr>
      <w:r>
        <w:rPr/>
        <w:t>Приложение 6</w:t>
      </w:r>
    </w:p>
    <w:p>
      <w:pPr>
        <w:pStyle w:val="Normal"/>
        <w:ind w:left="5812"/>
        <w:jc w:val="both"/>
        <w:rPr/>
      </w:pPr>
      <w:r>
        <w:rPr/>
        <w:t>к типовому техническому заданию</w:t>
      </w:r>
    </w:p>
    <w:p>
      <w:pPr>
        <w:pStyle w:val="Normal"/>
        <w:ind w:left="5812"/>
        <w:rPr/>
      </w:pPr>
      <w:r>
        <w:rPr/>
        <w:t>(в электронном виде)</w:t>
      </w:r>
    </w:p>
    <w:p>
      <w:pPr>
        <w:pStyle w:val="Normal"/>
        <w:ind w:left="5812"/>
        <w:jc w:val="both"/>
        <w:rPr/>
      </w:pPr>
      <w:r>
        <w:rPr/>
      </w:r>
    </w:p>
    <w:p>
      <w:pPr>
        <w:pStyle w:val="Normal"/>
        <w:rPr/>
      </w:pPr>
      <w:r>
        <w:rPr/>
      </w:r>
    </w:p>
    <w:p>
      <w:pPr>
        <w:pStyle w:val="Normal"/>
        <w:rPr/>
      </w:pPr>
      <w:r>
        <w:rPr/>
      </w:r>
    </w:p>
    <w:p>
      <w:pPr>
        <w:pStyle w:val="Normal"/>
        <w:rPr/>
      </w:pPr>
      <w:r>
        <w:rPr/>
      </w:r>
    </w:p>
    <w:p>
      <w:pPr>
        <w:pStyle w:val="Normal"/>
        <w:rPr/>
      </w:pPr>
      <w:r>
        <w:rPr/>
      </w:r>
    </w:p>
    <w:p>
      <w:pPr>
        <w:pStyle w:val="Normal"/>
        <w:jc w:val="center"/>
        <w:rPr>
          <w:b/>
          <w:sz w:val="28"/>
        </w:rPr>
      </w:pPr>
      <w:r>
        <w:rPr>
          <w:b/>
          <w:sz w:val="28"/>
        </w:rPr>
        <w:t>Порядок работы в АИС «ИСУР</w:t>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jc w:val="center"/>
        <w:rPr>
          <w:b/>
          <w:sz w:val="28"/>
        </w:rPr>
      </w:pPr>
      <w:r>
        <w:rPr>
          <w:b/>
          <w:sz w:val="28"/>
        </w:rPr>
      </w:r>
    </w:p>
    <w:p>
      <w:pPr>
        <w:pStyle w:val="Normal"/>
        <w:rPr>
          <w:b/>
          <w:sz w:val="28"/>
        </w:rPr>
      </w:pPr>
      <w:r>
        <w:rPr>
          <w:b/>
          <w:sz w:val="28"/>
        </w:rPr>
      </w:r>
    </w:p>
    <w:p>
      <w:pPr>
        <w:pStyle w:val="Normal"/>
        <w:rPr>
          <w:b/>
          <w:sz w:val="28"/>
        </w:rPr>
      </w:pPr>
      <w:r>
        <w:rPr>
          <w:b/>
          <w:sz w:val="28"/>
        </w:rPr>
      </w:r>
    </w:p>
    <w:p>
      <w:pPr>
        <w:pStyle w:val="Normal"/>
        <w:ind w:firstLine="709" w:left="4963"/>
        <w:rPr/>
      </w:pPr>
      <w:r>
        <w:rPr/>
      </w:r>
    </w:p>
    <w:p>
      <w:pPr>
        <w:pStyle w:val="Normal"/>
        <w:ind w:firstLine="709" w:left="4963"/>
        <w:rPr>
          <w:highlight w:val="none"/>
        </w:rPr>
      </w:pPr>
      <w:r>
        <w:rPr/>
      </w:r>
    </w:p>
    <w:p>
      <w:pPr>
        <w:pStyle w:val="Normal"/>
        <w:ind w:firstLine="709" w:left="4963"/>
        <w:rPr>
          <w:highlight w:val="none"/>
        </w:rPr>
      </w:pPr>
      <w:r>
        <w:rPr/>
        <w:t xml:space="preserve">   </w:t>
      </w:r>
    </w:p>
    <w:sectPr>
      <w:headerReference w:type="even" r:id="rId4"/>
      <w:headerReference w:type="default" r:id="rId5"/>
      <w:headerReference w:type="first" r:id="rId6"/>
      <w:footnotePr>
        <w:numFmt w:val="decimal"/>
      </w:footnotePr>
      <w:type w:val="nextPage"/>
      <w:pgSz w:w="11906" w:h="16838"/>
      <w:pgMar w:left="1276" w:right="709" w:gutter="0" w:header="709" w:top="1134" w:footer="0" w:bottom="9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Cambria">
    <w:charset w:val="01"/>
    <w:family w:val="roman"/>
    <w:pitch w:val="variable"/>
  </w:font>
  <w:font w:name="Calibri">
    <w:charset w:val="01"/>
    <w:family w:val="roman"/>
    <w:pitch w:val="variable"/>
  </w:font>
  <w:font w:name="Tahoma">
    <w:charset w:val="01"/>
    <w:family w:val="roman"/>
    <w:pitch w:val="variable"/>
  </w:font>
  <w:font w:name="Courier New">
    <w:charset w:val="01"/>
    <w:family w:val="roman"/>
    <w:pitch w:val="variable"/>
  </w:font>
  <w:font w:name="Symbol">
    <w:charset w:val="01"/>
    <w:family w:val="roman"/>
    <w:pitch w:val="variable"/>
  </w:font>
  <w:font w:name="Verdana">
    <w:charset w:val="01"/>
    <w:family w:val="roman"/>
    <w:pitch w:val="variable"/>
  </w:font>
  <w:font w:name="Liberation Sans">
    <w:altName w:val="Arial"/>
    <w:charset w:val="01"/>
    <w:family w:val="swiss"/>
    <w:pitch w:val="variable"/>
  </w:font>
  <w:font w:name="Arial CYR">
    <w:charset w:val="01"/>
    <w:family w:val="roman"/>
    <w:pitch w:val="variable"/>
  </w:font>
  <w:font w:name="Times New Roman CYR">
    <w:charset w:val="01"/>
    <w:family w:val="roman"/>
    <w:pitch w:val="variable"/>
  </w:font>
  <w:font w:name="Arial Narrow">
    <w:charset w:val="01"/>
    <w:family w:val="roman"/>
    <w:pitch w:val="variable"/>
  </w:font>
  <w:font w:name="OfficinaSansC">
    <w:charset w:val="01"/>
    <w:family w:val="roman"/>
    <w:pitch w:val="variable"/>
  </w:font>
  <w:font w:name="ProximaNova-Regular">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Style50"/>
        <w:jc w:val="both"/>
        <w:rPr/>
      </w:pPr>
      <w:r>
        <w:rPr>
          <w:rStyle w:val="Style5"/>
        </w:rPr>
        <w:footnoteRef/>
      </w:r>
      <w:r>
        <w:rPr/>
        <w:t xml:space="preserve"> </w:t>
      </w:r>
      <w:r>
        <w:rPr/>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3">
    <w:p>
      <w:pPr>
        <w:pStyle w:val="Style50"/>
        <w:jc w:val="both"/>
        <w:rPr/>
      </w:pPr>
      <w:r>
        <w:rPr>
          <w:rStyle w:val="Style5"/>
        </w:rPr>
        <w:footnoteRef/>
      </w:r>
      <w:r>
        <w:rPr/>
        <w:t xml:space="preserve"> </w:t>
      </w:r>
      <w:r>
        <w:rPr/>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4">
    <w:p>
      <w:pPr>
        <w:pStyle w:val="Style50"/>
        <w:jc w:val="both"/>
        <w:rPr/>
      </w:pPr>
      <w:r>
        <w:rPr>
          <w:rStyle w:val="Style5"/>
        </w:rPr>
        <w:footnoteRef/>
      </w:r>
      <w:r>
        <w:rPr/>
        <w:t xml:space="preserve"> </w:t>
      </w:r>
      <w:r>
        <w:rPr/>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5">
    <w:p>
      <w:pPr>
        <w:pStyle w:val="Style50"/>
        <w:jc w:val="both"/>
        <w:rPr/>
      </w:pPr>
      <w:r>
        <w:rPr>
          <w:rStyle w:val="Style5"/>
        </w:rPr>
        <w:footnoteRef/>
      </w:r>
      <w:r>
        <w:rPr/>
        <w:t xml:space="preserve"> </w:t>
      </w:r>
      <w:r>
        <w:rPr/>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6">
    <w:p>
      <w:pPr>
        <w:pStyle w:val="Style50"/>
        <w:jc w:val="both"/>
        <w:rPr/>
      </w:pPr>
      <w:r>
        <w:rPr>
          <w:rStyle w:val="Style5"/>
        </w:rPr>
        <w:footnoteRef/>
      </w:r>
      <w:r>
        <w:rPr/>
        <w:t xml:space="preserve"> </w:t>
      </w:r>
      <w:r>
        <w:rPr/>
        <w:t>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36</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36</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bullet"/>
      <w:lvlText w:val=""/>
      <w:lvlJc w:val="left"/>
      <w:pPr>
        <w:tabs>
          <w:tab w:val="num" w:pos="0"/>
        </w:tabs>
        <w:ind w:left="1440" w:hanging="360"/>
      </w:pPr>
      <w:rPr>
        <w:rFonts w:ascii="Symbol" w:hAnsi="Symbol" w:cs="Symbol" w:hint="default"/>
        <w:color w:val="000000"/>
      </w:rPr>
    </w:lvl>
    <w:lvl w:ilvl="1">
      <w:start w:val="1"/>
      <w:isLgl/>
      <w:numFmt w:val="bullet"/>
      <w:lvlText w:val="o"/>
      <w:lvlJc w:val="left"/>
      <w:pPr>
        <w:tabs>
          <w:tab w:val="num" w:pos="0"/>
        </w:tabs>
        <w:ind w:left="2160" w:hanging="360"/>
      </w:pPr>
      <w:rPr>
        <w:rFonts w:ascii="Courier New" w:hAnsi="Courier New" w:cs="Courier New" w:hint="default"/>
      </w:rPr>
    </w:lvl>
    <w:lvl w:ilvl="2">
      <w:start w:val="1"/>
      <w:isLgl/>
      <w:numFmt w:val="bullet"/>
      <w:lvlText w:val=""/>
      <w:lvlJc w:val="left"/>
      <w:pPr>
        <w:tabs>
          <w:tab w:val="num" w:pos="0"/>
        </w:tabs>
        <w:ind w:left="2880" w:hanging="360"/>
      </w:pPr>
      <w:rPr>
        <w:rFonts w:ascii="Wingdings" w:hAnsi="Wingdings" w:cs="Wingdings" w:hint="default"/>
      </w:rPr>
    </w:lvl>
    <w:lvl w:ilvl="3">
      <w:start w:val="1"/>
      <w:isLgl/>
      <w:numFmt w:val="bullet"/>
      <w:lvlText w:val=""/>
      <w:lvlJc w:val="left"/>
      <w:pPr>
        <w:tabs>
          <w:tab w:val="num" w:pos="0"/>
        </w:tabs>
        <w:ind w:left="3600" w:hanging="360"/>
      </w:pPr>
      <w:rPr>
        <w:rFonts w:ascii="Symbol" w:hAnsi="Symbol" w:cs="Symbol" w:hint="default"/>
      </w:rPr>
    </w:lvl>
    <w:lvl w:ilvl="4">
      <w:start w:val="1"/>
      <w:isLgl/>
      <w:numFmt w:val="bullet"/>
      <w:lvlText w:val="o"/>
      <w:lvlJc w:val="left"/>
      <w:pPr>
        <w:tabs>
          <w:tab w:val="num" w:pos="0"/>
        </w:tabs>
        <w:ind w:left="4320" w:hanging="360"/>
      </w:pPr>
      <w:rPr>
        <w:rFonts w:ascii="Courier New" w:hAnsi="Courier New" w:cs="Courier New" w:hint="default"/>
      </w:rPr>
    </w:lvl>
    <w:lvl w:ilvl="5">
      <w:start w:val="1"/>
      <w:isLgl/>
      <w:numFmt w:val="bullet"/>
      <w:lvlText w:val=""/>
      <w:lvlJc w:val="left"/>
      <w:pPr>
        <w:tabs>
          <w:tab w:val="num" w:pos="0"/>
        </w:tabs>
        <w:ind w:left="5040" w:hanging="360"/>
      </w:pPr>
      <w:rPr>
        <w:rFonts w:ascii="Wingdings" w:hAnsi="Wingdings" w:cs="Wingdings" w:hint="default"/>
      </w:rPr>
    </w:lvl>
    <w:lvl w:ilvl="6">
      <w:start w:val="1"/>
      <w:isLgl/>
      <w:numFmt w:val="bullet"/>
      <w:lvlText w:val=""/>
      <w:lvlJc w:val="left"/>
      <w:pPr>
        <w:tabs>
          <w:tab w:val="num" w:pos="0"/>
        </w:tabs>
        <w:ind w:left="5760" w:hanging="360"/>
      </w:pPr>
      <w:rPr>
        <w:rFonts w:ascii="Symbol" w:hAnsi="Symbol" w:cs="Symbol" w:hint="default"/>
      </w:rPr>
    </w:lvl>
    <w:lvl w:ilvl="7">
      <w:start w:val="1"/>
      <w:isLgl/>
      <w:numFmt w:val="bullet"/>
      <w:lvlText w:val="o"/>
      <w:lvlJc w:val="left"/>
      <w:pPr>
        <w:tabs>
          <w:tab w:val="num" w:pos="0"/>
        </w:tabs>
        <w:ind w:left="6480" w:hanging="360"/>
      </w:pPr>
      <w:rPr>
        <w:rFonts w:ascii="Courier New" w:hAnsi="Courier New" w:cs="Courier New" w:hint="default"/>
      </w:rPr>
    </w:lvl>
    <w:lvl w:ilvl="8">
      <w:start w:val="1"/>
      <w:isLgl/>
      <w:numFmt w:val="bullet"/>
      <w:lvlText w:val=""/>
      <w:lvlJc w:val="left"/>
      <w:pPr>
        <w:tabs>
          <w:tab w:val="num" w:pos="0"/>
        </w:tabs>
        <w:ind w:left="7200" w:hanging="360"/>
      </w:pPr>
      <w:rPr>
        <w:rFonts w:ascii="Wingdings" w:hAnsi="Wingdings" w:cs="Wingdings" w:hint="default"/>
      </w:rPr>
    </w:lvl>
  </w:abstractNum>
  <w:abstractNum w:abstractNumId="2">
    <w:lvl w:ilvl="0">
      <w:start w:val="1"/>
      <w:isLgl/>
      <w:numFmt w:val="bullet"/>
      <w:lvlText w:val=""/>
      <w:lvlJc w:val="left"/>
      <w:pPr>
        <w:tabs>
          <w:tab w:val="num" w:pos="0"/>
        </w:tabs>
        <w:ind w:left="502" w:hanging="360"/>
      </w:pPr>
      <w:rPr>
        <w:rFonts w:ascii="Symbol" w:hAnsi="Symbol" w:cs="Symbol" w:hint="default"/>
        <w:color w:val="000000"/>
      </w:rPr>
    </w:lvl>
    <w:lvl w:ilvl="1">
      <w:start w:val="1"/>
      <w:isLgl/>
      <w:numFmt w:val="bullet"/>
      <w:lvlText w:val="o"/>
      <w:lvlJc w:val="left"/>
      <w:pPr>
        <w:tabs>
          <w:tab w:val="num" w:pos="0"/>
        </w:tabs>
        <w:ind w:left="2160" w:hanging="360"/>
      </w:pPr>
      <w:rPr>
        <w:rFonts w:ascii="Courier New" w:hAnsi="Courier New" w:cs="Courier New" w:hint="default"/>
      </w:rPr>
    </w:lvl>
    <w:lvl w:ilvl="2">
      <w:start w:val="1"/>
      <w:isLgl/>
      <w:numFmt w:val="bullet"/>
      <w:lvlText w:val=""/>
      <w:lvlJc w:val="left"/>
      <w:pPr>
        <w:tabs>
          <w:tab w:val="num" w:pos="0"/>
        </w:tabs>
        <w:ind w:left="2880" w:hanging="360"/>
      </w:pPr>
      <w:rPr>
        <w:rFonts w:ascii="Wingdings" w:hAnsi="Wingdings" w:cs="Wingdings" w:hint="default"/>
      </w:rPr>
    </w:lvl>
    <w:lvl w:ilvl="3">
      <w:start w:val="1"/>
      <w:isLgl/>
      <w:numFmt w:val="bullet"/>
      <w:lvlText w:val=""/>
      <w:lvlJc w:val="left"/>
      <w:pPr>
        <w:tabs>
          <w:tab w:val="num" w:pos="0"/>
        </w:tabs>
        <w:ind w:left="3600" w:hanging="360"/>
      </w:pPr>
      <w:rPr>
        <w:rFonts w:ascii="Symbol" w:hAnsi="Symbol" w:cs="Symbol" w:hint="default"/>
      </w:rPr>
    </w:lvl>
    <w:lvl w:ilvl="4">
      <w:start w:val="1"/>
      <w:isLgl/>
      <w:numFmt w:val="bullet"/>
      <w:lvlText w:val="o"/>
      <w:lvlJc w:val="left"/>
      <w:pPr>
        <w:tabs>
          <w:tab w:val="num" w:pos="0"/>
        </w:tabs>
        <w:ind w:left="4320" w:hanging="360"/>
      </w:pPr>
      <w:rPr>
        <w:rFonts w:ascii="Courier New" w:hAnsi="Courier New" w:cs="Courier New" w:hint="default"/>
      </w:rPr>
    </w:lvl>
    <w:lvl w:ilvl="5">
      <w:start w:val="1"/>
      <w:isLgl/>
      <w:numFmt w:val="bullet"/>
      <w:lvlText w:val=""/>
      <w:lvlJc w:val="left"/>
      <w:pPr>
        <w:tabs>
          <w:tab w:val="num" w:pos="0"/>
        </w:tabs>
        <w:ind w:left="5040" w:hanging="360"/>
      </w:pPr>
      <w:rPr>
        <w:rFonts w:ascii="Wingdings" w:hAnsi="Wingdings" w:cs="Wingdings" w:hint="default"/>
      </w:rPr>
    </w:lvl>
    <w:lvl w:ilvl="6">
      <w:start w:val="1"/>
      <w:isLgl/>
      <w:numFmt w:val="bullet"/>
      <w:lvlText w:val=""/>
      <w:lvlJc w:val="left"/>
      <w:pPr>
        <w:tabs>
          <w:tab w:val="num" w:pos="0"/>
        </w:tabs>
        <w:ind w:left="5760" w:hanging="360"/>
      </w:pPr>
      <w:rPr>
        <w:rFonts w:ascii="Symbol" w:hAnsi="Symbol" w:cs="Symbol" w:hint="default"/>
      </w:rPr>
    </w:lvl>
    <w:lvl w:ilvl="7">
      <w:start w:val="1"/>
      <w:isLgl/>
      <w:numFmt w:val="bullet"/>
      <w:lvlText w:val="o"/>
      <w:lvlJc w:val="left"/>
      <w:pPr>
        <w:tabs>
          <w:tab w:val="num" w:pos="0"/>
        </w:tabs>
        <w:ind w:left="6480" w:hanging="360"/>
      </w:pPr>
      <w:rPr>
        <w:rFonts w:ascii="Courier New" w:hAnsi="Courier New" w:cs="Courier New" w:hint="default"/>
      </w:rPr>
    </w:lvl>
    <w:lvl w:ilvl="8">
      <w:start w:val="1"/>
      <w:isLgl/>
      <w:numFmt w:val="bullet"/>
      <w:lvlText w:val=""/>
      <w:lvlJc w:val="left"/>
      <w:pPr>
        <w:tabs>
          <w:tab w:val="num" w:pos="0"/>
        </w:tabs>
        <w:ind w:left="7200" w:hanging="360"/>
      </w:pPr>
      <w:rPr>
        <w:rFonts w:ascii="Wingdings" w:hAnsi="Wingdings" w:cs="Wingdings" w:hint="default"/>
      </w:rPr>
    </w:lvl>
  </w:abstractNum>
  <w:abstractNum w:abstractNumId="3">
    <w:lvl w:ilvl="0">
      <w:start w:val="1"/>
      <w:isLgl/>
      <w:numFmt w:val="bullet"/>
      <w:lvlText w:val=""/>
      <w:lvlJc w:val="left"/>
      <w:pPr>
        <w:tabs>
          <w:tab w:val="num" w:pos="0"/>
        </w:tabs>
        <w:ind w:left="1440" w:hanging="360"/>
      </w:pPr>
      <w:rPr>
        <w:rFonts w:ascii="Symbol" w:hAnsi="Symbol" w:cs="Symbol" w:hint="default"/>
        <w:color w:val="000000"/>
      </w:rPr>
    </w:lvl>
    <w:lvl w:ilvl="1">
      <w:start w:val="1"/>
      <w:isLgl/>
      <w:numFmt w:val="bullet"/>
      <w:lvlText w:val="o"/>
      <w:lvlJc w:val="left"/>
      <w:pPr>
        <w:tabs>
          <w:tab w:val="num" w:pos="0"/>
        </w:tabs>
        <w:ind w:left="2160" w:hanging="360"/>
      </w:pPr>
      <w:rPr>
        <w:rFonts w:ascii="Courier New" w:hAnsi="Courier New" w:cs="Courier New" w:hint="default"/>
      </w:rPr>
    </w:lvl>
    <w:lvl w:ilvl="2">
      <w:start w:val="1"/>
      <w:isLgl/>
      <w:numFmt w:val="bullet"/>
      <w:lvlText w:val=""/>
      <w:lvlJc w:val="left"/>
      <w:pPr>
        <w:tabs>
          <w:tab w:val="num" w:pos="0"/>
        </w:tabs>
        <w:ind w:left="2880" w:hanging="360"/>
      </w:pPr>
      <w:rPr>
        <w:rFonts w:ascii="Wingdings" w:hAnsi="Wingdings" w:cs="Wingdings" w:hint="default"/>
      </w:rPr>
    </w:lvl>
    <w:lvl w:ilvl="3">
      <w:start w:val="1"/>
      <w:isLgl/>
      <w:numFmt w:val="bullet"/>
      <w:lvlText w:val=""/>
      <w:lvlJc w:val="left"/>
      <w:pPr>
        <w:tabs>
          <w:tab w:val="num" w:pos="0"/>
        </w:tabs>
        <w:ind w:left="3600" w:hanging="360"/>
      </w:pPr>
      <w:rPr>
        <w:rFonts w:ascii="Symbol" w:hAnsi="Symbol" w:cs="Symbol" w:hint="default"/>
      </w:rPr>
    </w:lvl>
    <w:lvl w:ilvl="4">
      <w:start w:val="1"/>
      <w:isLgl/>
      <w:numFmt w:val="bullet"/>
      <w:lvlText w:val="o"/>
      <w:lvlJc w:val="left"/>
      <w:pPr>
        <w:tabs>
          <w:tab w:val="num" w:pos="0"/>
        </w:tabs>
        <w:ind w:left="4320" w:hanging="360"/>
      </w:pPr>
      <w:rPr>
        <w:rFonts w:ascii="Courier New" w:hAnsi="Courier New" w:cs="Courier New" w:hint="default"/>
      </w:rPr>
    </w:lvl>
    <w:lvl w:ilvl="5">
      <w:start w:val="1"/>
      <w:isLgl/>
      <w:numFmt w:val="bullet"/>
      <w:lvlText w:val=""/>
      <w:lvlJc w:val="left"/>
      <w:pPr>
        <w:tabs>
          <w:tab w:val="num" w:pos="0"/>
        </w:tabs>
        <w:ind w:left="5040" w:hanging="360"/>
      </w:pPr>
      <w:rPr>
        <w:rFonts w:ascii="Wingdings" w:hAnsi="Wingdings" w:cs="Wingdings" w:hint="default"/>
      </w:rPr>
    </w:lvl>
    <w:lvl w:ilvl="6">
      <w:start w:val="1"/>
      <w:isLgl/>
      <w:numFmt w:val="bullet"/>
      <w:lvlText w:val=""/>
      <w:lvlJc w:val="left"/>
      <w:pPr>
        <w:tabs>
          <w:tab w:val="num" w:pos="0"/>
        </w:tabs>
        <w:ind w:left="5760" w:hanging="360"/>
      </w:pPr>
      <w:rPr>
        <w:rFonts w:ascii="Symbol" w:hAnsi="Symbol" w:cs="Symbol" w:hint="default"/>
      </w:rPr>
    </w:lvl>
    <w:lvl w:ilvl="7">
      <w:start w:val="1"/>
      <w:isLgl/>
      <w:numFmt w:val="bullet"/>
      <w:lvlText w:val="o"/>
      <w:lvlJc w:val="left"/>
      <w:pPr>
        <w:tabs>
          <w:tab w:val="num" w:pos="0"/>
        </w:tabs>
        <w:ind w:left="6480" w:hanging="360"/>
      </w:pPr>
      <w:rPr>
        <w:rFonts w:ascii="Courier New" w:hAnsi="Courier New" w:cs="Courier New" w:hint="default"/>
      </w:rPr>
    </w:lvl>
    <w:lvl w:ilvl="8">
      <w:start w:val="1"/>
      <w:isLgl/>
      <w:numFmt w:val="bullet"/>
      <w:lvlText w:val=""/>
      <w:lvlJc w:val="left"/>
      <w:pPr>
        <w:tabs>
          <w:tab w:val="num" w:pos="0"/>
        </w:tabs>
        <w:ind w:left="7200" w:hanging="360"/>
      </w:pPr>
      <w:rPr>
        <w:rFonts w:ascii="Wingdings" w:hAnsi="Wingdings" w:cs="Wingdings" w:hint="default"/>
      </w:rPr>
    </w:lvl>
  </w:abstractNum>
  <w:abstractNum w:abstractNumId="4">
    <w:lvl w:ilvl="0">
      <w:start w:val="1"/>
      <w:isLgl/>
      <w:numFmt w:val="bullet"/>
      <w:lvlText w:val=""/>
      <w:lvlJc w:val="left"/>
      <w:pPr>
        <w:tabs>
          <w:tab w:val="num" w:pos="720"/>
        </w:tabs>
        <w:ind w:left="720" w:hanging="360"/>
      </w:pPr>
      <w:rPr>
        <w:rFonts w:ascii="Symbol" w:hAnsi="Symbol" w:cs="Symbol" w:hint="default"/>
        <w:lang w:val="ru-RU"/>
      </w:rPr>
    </w:lvl>
    <w:lvl w:ilvl="1">
      <w:start w:val="1"/>
      <w:isLgl/>
      <w:numFmt w:val="bullet"/>
      <w:lvlText w:val="o"/>
      <w:lvlJc w:val="left"/>
      <w:pPr>
        <w:tabs>
          <w:tab w:val="num" w:pos="1440"/>
        </w:tabs>
        <w:ind w:left="1440" w:hanging="360"/>
      </w:pPr>
      <w:rPr>
        <w:rFonts w:ascii="Courier New" w:hAnsi="Courier New" w:cs="Courier New" w:hint="default"/>
      </w:rPr>
    </w:lvl>
    <w:lvl w:ilvl="2">
      <w:start w:val="1"/>
      <w:isLgl/>
      <w:numFmt w:val="bullet"/>
      <w:lvlText w:val=""/>
      <w:lvlJc w:val="left"/>
      <w:pPr>
        <w:tabs>
          <w:tab w:val="num" w:pos="2160"/>
        </w:tabs>
        <w:ind w:left="2160" w:hanging="360"/>
      </w:pPr>
      <w:rPr>
        <w:rFonts w:ascii="Wingdings" w:hAnsi="Wingdings" w:cs="Wingdings" w:hint="default"/>
      </w:rPr>
    </w:lvl>
    <w:lvl w:ilvl="3">
      <w:start w:val="1"/>
      <w:isLgl/>
      <w:numFmt w:val="bullet"/>
      <w:lvlText w:val=""/>
      <w:lvlJc w:val="left"/>
      <w:pPr>
        <w:tabs>
          <w:tab w:val="num" w:pos="2880"/>
        </w:tabs>
        <w:ind w:left="2880" w:hanging="360"/>
      </w:pPr>
      <w:rPr>
        <w:rFonts w:ascii="Symbol" w:hAnsi="Symbol" w:cs="Symbol" w:hint="default"/>
      </w:rPr>
    </w:lvl>
    <w:lvl w:ilvl="4">
      <w:start w:val="1"/>
      <w:isLgl/>
      <w:numFmt w:val="bullet"/>
      <w:lvlText w:val="o"/>
      <w:lvlJc w:val="left"/>
      <w:pPr>
        <w:tabs>
          <w:tab w:val="num" w:pos="3600"/>
        </w:tabs>
        <w:ind w:left="3600" w:hanging="360"/>
      </w:pPr>
      <w:rPr>
        <w:rFonts w:ascii="Courier New" w:hAnsi="Courier New" w:cs="Courier New" w:hint="default"/>
      </w:rPr>
    </w:lvl>
    <w:lvl w:ilvl="5">
      <w:start w:val="1"/>
      <w:isLgl/>
      <w:numFmt w:val="bullet"/>
      <w:lvlText w:val=""/>
      <w:lvlJc w:val="left"/>
      <w:pPr>
        <w:tabs>
          <w:tab w:val="num" w:pos="4320"/>
        </w:tabs>
        <w:ind w:left="4320" w:hanging="360"/>
      </w:pPr>
      <w:rPr>
        <w:rFonts w:ascii="Wingdings" w:hAnsi="Wingdings" w:cs="Wingdings" w:hint="default"/>
      </w:rPr>
    </w:lvl>
    <w:lvl w:ilvl="6">
      <w:start w:val="1"/>
      <w:isLgl/>
      <w:numFmt w:val="bullet"/>
      <w:lvlText w:val=""/>
      <w:lvlJc w:val="left"/>
      <w:pPr>
        <w:tabs>
          <w:tab w:val="num" w:pos="5040"/>
        </w:tabs>
        <w:ind w:left="5040" w:hanging="360"/>
      </w:pPr>
      <w:rPr>
        <w:rFonts w:ascii="Symbol" w:hAnsi="Symbol" w:cs="Symbol" w:hint="default"/>
      </w:rPr>
    </w:lvl>
    <w:lvl w:ilvl="7">
      <w:start w:val="1"/>
      <w:isLgl/>
      <w:numFmt w:val="bullet"/>
      <w:lvlText w:val="o"/>
      <w:lvlJc w:val="left"/>
      <w:pPr>
        <w:tabs>
          <w:tab w:val="num" w:pos="5760"/>
        </w:tabs>
        <w:ind w:left="5760" w:hanging="360"/>
      </w:pPr>
      <w:rPr>
        <w:rFonts w:ascii="Courier New" w:hAnsi="Courier New" w:cs="Courier New" w:hint="default"/>
      </w:rPr>
    </w:lvl>
    <w:lvl w:ilvl="8">
      <w:start w:val="1"/>
      <w:isLgl/>
      <w:numFmt w:val="bullet"/>
      <w:lvlText w:val=""/>
      <w:lvlJc w:val="left"/>
      <w:pPr>
        <w:tabs>
          <w:tab w:val="num" w:pos="6480"/>
        </w:tabs>
        <w:ind w:left="6480" w:hanging="360"/>
      </w:pPr>
      <w:rPr>
        <w:rFonts w:ascii="Wingdings" w:hAnsi="Wingdings" w:cs="Wingdings" w:hint="default"/>
      </w:rPr>
    </w:lvl>
  </w:abstractNum>
  <w:abstractNum w:abstractNumId="5">
    <w:lvl w:ilvl="0">
      <w:start w:val="1"/>
      <w:isLgl/>
      <w:numFmt w:val="decimal"/>
      <w:lvlText w:val="%1."/>
      <w:lvlJc w:val="left"/>
      <w:pPr>
        <w:tabs>
          <w:tab w:val="num" w:pos="0"/>
        </w:tabs>
        <w:ind w:left="360" w:hanging="360"/>
      </w:pPr>
      <w:rPr/>
    </w:lvl>
    <w:lvl w:ilvl="1">
      <w:start w:val="1"/>
      <w:isLgl/>
      <w:numFmt w:val="decimal"/>
      <w:lvlText w:val="%1.%2."/>
      <w:lvlJc w:val="left"/>
      <w:pPr>
        <w:tabs>
          <w:tab w:val="num" w:pos="0"/>
        </w:tabs>
        <w:ind w:left="432" w:hanging="432"/>
      </w:pPr>
      <w:rPr/>
    </w:lvl>
    <w:lvl w:ilvl="2">
      <w:start w:val="1"/>
      <w:isLgl/>
      <w:numFmt w:val="decimal"/>
      <w:lvlText w:val="%1.%2.%3."/>
      <w:lvlJc w:val="left"/>
      <w:pPr>
        <w:tabs>
          <w:tab w:val="num" w:pos="0"/>
        </w:tabs>
        <w:ind w:left="1224" w:hanging="504"/>
      </w:pPr>
      <w:rPr/>
    </w:lvl>
    <w:lvl w:ilvl="3">
      <w:start w:val="1"/>
      <w:isLgl/>
      <w:numFmt w:val="decimal"/>
      <w:lvlText w:val="%1.%2.%3.%4."/>
      <w:lvlJc w:val="left"/>
      <w:pPr>
        <w:tabs>
          <w:tab w:val="num" w:pos="0"/>
        </w:tabs>
        <w:ind w:left="1728"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
    <w:lvl w:ilvl="0">
      <w:start w:val="2"/>
      <w:isLgl/>
      <w:numFmt w:val="decimal"/>
      <w:lvlText w:val="%1."/>
      <w:lvlJc w:val="left"/>
      <w:pPr>
        <w:tabs>
          <w:tab w:val="num" w:pos="0"/>
        </w:tabs>
        <w:ind w:left="360" w:hanging="360"/>
      </w:pPr>
      <w:rPr/>
    </w:lvl>
    <w:lvl w:ilvl="1">
      <w:start w:val="1"/>
      <w:isLgl/>
      <w:numFmt w:val="decimal"/>
      <w:lvlText w:val="%1.%2."/>
      <w:lvlJc w:val="left"/>
      <w:pPr>
        <w:tabs>
          <w:tab w:val="num" w:pos="0"/>
        </w:tabs>
        <w:ind w:left="928" w:hanging="360"/>
      </w:pPr>
      <w:rPr>
        <w:b w:val="false"/>
      </w:rPr>
    </w:lvl>
    <w:lvl w:ilvl="2">
      <w:start w:val="1"/>
      <w:isLgl/>
      <w:numFmt w:val="decimal"/>
      <w:lvlText w:val="%1.%2.%3."/>
      <w:lvlJc w:val="left"/>
      <w:pPr>
        <w:tabs>
          <w:tab w:val="num" w:pos="0"/>
        </w:tabs>
        <w:ind w:left="1288" w:hanging="720"/>
      </w:pPr>
      <w:rPr/>
    </w:lvl>
    <w:lvl w:ilvl="3">
      <w:start w:val="1"/>
      <w:isLgl/>
      <w:numFmt w:val="decimal"/>
      <w:lvlText w:val="%1.%2.%3.%4."/>
      <w:lvlJc w:val="left"/>
      <w:pPr>
        <w:tabs>
          <w:tab w:val="num" w:pos="0"/>
        </w:tabs>
        <w:ind w:left="1800" w:hanging="720"/>
      </w:pPr>
      <w:rPr/>
    </w:lvl>
    <w:lvl w:ilvl="4">
      <w:start w:val="1"/>
      <w:isLgl/>
      <w:numFmt w:val="decimal"/>
      <w:lvlText w:val="%1.%2.%3.%4.%5."/>
      <w:lvlJc w:val="left"/>
      <w:pPr>
        <w:tabs>
          <w:tab w:val="num" w:pos="0"/>
        </w:tabs>
        <w:ind w:left="2520" w:hanging="1080"/>
      </w:pPr>
      <w:rPr/>
    </w:lvl>
    <w:lvl w:ilvl="5">
      <w:start w:val="1"/>
      <w:isLgl/>
      <w:numFmt w:val="decimal"/>
      <w:lvlText w:val="%1.%2.%3.%4.%5.%6."/>
      <w:lvlJc w:val="left"/>
      <w:pPr>
        <w:tabs>
          <w:tab w:val="num" w:pos="0"/>
        </w:tabs>
        <w:ind w:left="2880" w:hanging="1080"/>
      </w:pPr>
      <w:rPr/>
    </w:lvl>
    <w:lvl w:ilvl="6">
      <w:start w:val="1"/>
      <w:isLgl/>
      <w:numFmt w:val="decimal"/>
      <w:lvlText w:val="%1.%2.%3.%4.%5.%6.%7."/>
      <w:lvlJc w:val="left"/>
      <w:pPr>
        <w:tabs>
          <w:tab w:val="num" w:pos="0"/>
        </w:tabs>
        <w:ind w:left="3600" w:hanging="1440"/>
      </w:pPr>
      <w:rPr/>
    </w:lvl>
    <w:lvl w:ilvl="7">
      <w:start w:val="1"/>
      <w:isLgl/>
      <w:numFmt w:val="decimal"/>
      <w:lvlText w:val="%1.%2.%3.%4.%5.%6.%7.%8."/>
      <w:lvlJc w:val="left"/>
      <w:pPr>
        <w:tabs>
          <w:tab w:val="num" w:pos="0"/>
        </w:tabs>
        <w:ind w:left="3960" w:hanging="1440"/>
      </w:pPr>
      <w:rPr/>
    </w:lvl>
    <w:lvl w:ilvl="8">
      <w:start w:val="1"/>
      <w:isLgl/>
      <w:numFmt w:val="decimal"/>
      <w:lvlText w:val="%1.%2.%3.%4.%5.%6.%7.%8.%9."/>
      <w:lvlJc w:val="left"/>
      <w:pPr>
        <w:tabs>
          <w:tab w:val="num" w:pos="0"/>
        </w:tabs>
        <w:ind w:left="4680" w:hanging="1800"/>
      </w:pPr>
      <w:rPr/>
    </w:lvl>
  </w:abstractNum>
  <w:abstractNum w:abstractNumId="7">
    <w:lvl w:ilvl="0">
      <w:start w:val="1"/>
      <w:isLgl/>
      <w:numFmt w:val="bullet"/>
      <w:lvlText w:val=""/>
      <w:lvlJc w:val="left"/>
      <w:pPr>
        <w:tabs>
          <w:tab w:val="num" w:pos="0"/>
        </w:tabs>
        <w:ind w:left="2977" w:hanging="283"/>
      </w:pPr>
      <w:rPr>
        <w:rFonts w:ascii="Symbol" w:hAnsi="Symbol" w:cs="Symbol"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8">
    <w:lvl w:ilvl="0">
      <w:start w:val="1"/>
      <w:isLgl/>
      <w:numFmt w:val="bullet"/>
      <w:lvlText w:val="-"/>
      <w:lvlJc w:val="left"/>
      <w:pPr>
        <w:tabs>
          <w:tab w:val="num" w:pos="0"/>
        </w:tabs>
        <w:ind w:left="720" w:hanging="360"/>
      </w:pPr>
      <w:rPr>
        <w:rFonts w:ascii="Courier New" w:hAnsi="Courier New" w:cs="Courier New"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9">
    <w:lvl w:ilvl="0">
      <w:start w:val="1"/>
      <w:isLgl/>
      <w:numFmt w:val="decimal"/>
      <w:lvlText w:val="%1"/>
      <w:lvlJc w:val="left"/>
      <w:pPr>
        <w:tabs>
          <w:tab w:val="num" w:pos="432"/>
        </w:tabs>
        <w:ind w:left="432" w:hanging="432"/>
      </w:pPr>
      <w:rPr/>
    </w:lvl>
    <w:lvl w:ilvl="1">
      <w:start w:val="1"/>
      <w:isLgl/>
      <w:numFmt w:val="decimal"/>
      <w:lvlText w:val="%1.%2"/>
      <w:lvlJc w:val="left"/>
      <w:pPr>
        <w:tabs>
          <w:tab w:val="num" w:pos="431"/>
        </w:tabs>
        <w:ind w:left="431" w:hanging="431"/>
      </w:pPr>
      <w:rPr/>
    </w:lvl>
    <w:lvl w:ilvl="2">
      <w:start w:val="1"/>
      <w:isLgl/>
      <w:numFmt w:val="decimal"/>
      <w:lvlText w:val="%1.%2.%3"/>
      <w:lvlJc w:val="left"/>
      <w:pPr>
        <w:tabs>
          <w:tab w:val="num" w:pos="720"/>
        </w:tabs>
        <w:ind w:left="431" w:hanging="431"/>
      </w:pPr>
      <w:rPr/>
    </w:lvl>
    <w:lvl w:ilvl="3">
      <w:start w:val="1"/>
      <w:isLgl/>
      <w:numFmt w:val="decimal"/>
      <w:lvlText w:val="%1.%2.%3.%4"/>
      <w:lvlJc w:val="left"/>
      <w:pPr>
        <w:tabs>
          <w:tab w:val="num" w:pos="864"/>
        </w:tabs>
        <w:ind w:left="864" w:hanging="864"/>
      </w:pPr>
      <w:rPr/>
    </w:lvl>
    <w:lvl w:ilvl="4">
      <w:start w:val="1"/>
      <w:isLgl/>
      <w:numFmt w:val="decimal"/>
      <w:lvlText w:val="%1.%2.%3.%4.%5"/>
      <w:lvlJc w:val="left"/>
      <w:pPr>
        <w:tabs>
          <w:tab w:val="num" w:pos="1008"/>
        </w:tabs>
        <w:ind w:left="1008" w:hanging="1008"/>
      </w:pPr>
      <w:rPr/>
    </w:lvl>
    <w:lvl w:ilvl="5">
      <w:start w:val="1"/>
      <w:isLgl/>
      <w:numFmt w:val="decimal"/>
      <w:lvlText w:val="%1.%2.%3.%4.%5.%6"/>
      <w:lvlJc w:val="left"/>
      <w:pPr>
        <w:tabs>
          <w:tab w:val="num" w:pos="1152"/>
        </w:tabs>
        <w:ind w:left="1152" w:hanging="1152"/>
      </w:pPr>
      <w:rPr/>
    </w:lvl>
    <w:lvl w:ilvl="6">
      <w:start w:val="1"/>
      <w:isLgl/>
      <w:numFmt w:val="decimal"/>
      <w:lvlText w:val="%1.%2.%3.%4.%5.%6.%7"/>
      <w:lvlJc w:val="left"/>
      <w:pPr>
        <w:tabs>
          <w:tab w:val="num" w:pos="1296"/>
        </w:tabs>
        <w:ind w:left="1296" w:hanging="1296"/>
      </w:pPr>
      <w:rPr/>
    </w:lvl>
    <w:lvl w:ilvl="7">
      <w:start w:val="1"/>
      <w:isLgl/>
      <w:numFmt w:val="decimal"/>
      <w:lvlText w:val="%1.%2.%3.%4.%5.%6.%7.%8"/>
      <w:lvlJc w:val="left"/>
      <w:pPr>
        <w:tabs>
          <w:tab w:val="num" w:pos="1440"/>
        </w:tabs>
        <w:ind w:left="1440" w:hanging="1440"/>
      </w:pPr>
      <w:rPr/>
    </w:lvl>
    <w:lvl w:ilvl="8">
      <w:start w:val="1"/>
      <w:isLgl/>
      <w:numFmt w:val="decimal"/>
      <w:lvlText w:val="%1.%2.%3.%4.%5.%6.%7.%8.%9"/>
      <w:lvlJc w:val="left"/>
      <w:pPr>
        <w:tabs>
          <w:tab w:val="num" w:pos="1584"/>
        </w:tabs>
        <w:ind w:left="1584" w:hanging="1584"/>
      </w:pPr>
      <w:rPr/>
    </w:lvl>
  </w:abstractNum>
  <w:abstractNum w:abstractNumId="10">
    <w:lvl w:ilvl="0">
      <w:start w:val="1"/>
      <w:isLgl/>
      <w:numFmt w:val="decimal"/>
      <w:lvlText w:val="%1."/>
      <w:lvlJc w:val="left"/>
      <w:pPr>
        <w:tabs>
          <w:tab w:val="num" w:pos="0"/>
        </w:tabs>
        <w:ind w:left="1070" w:hanging="360"/>
      </w:pPr>
      <w:rPr/>
    </w:lvl>
    <w:lvl w:ilvl="1">
      <w:start w:val="1"/>
      <w:isLgl/>
      <w:numFmt w:val="lowerLetter"/>
      <w:lvlText w:val="%2."/>
      <w:lvlJc w:val="left"/>
      <w:pPr>
        <w:tabs>
          <w:tab w:val="num" w:pos="0"/>
        </w:tabs>
        <w:ind w:left="1788" w:hanging="360"/>
      </w:pPr>
      <w:rPr/>
    </w:lvl>
    <w:lvl w:ilvl="2">
      <w:start w:val="1"/>
      <w:isLgl/>
      <w:numFmt w:val="lowerRoman"/>
      <w:lvlText w:val="%3."/>
      <w:lvlJc w:val="right"/>
      <w:pPr>
        <w:tabs>
          <w:tab w:val="num" w:pos="0"/>
        </w:tabs>
        <w:ind w:left="2508" w:hanging="180"/>
      </w:pPr>
      <w:rPr/>
    </w:lvl>
    <w:lvl w:ilvl="3">
      <w:start w:val="1"/>
      <w:isLgl/>
      <w:numFmt w:val="decimal"/>
      <w:lvlText w:val="%4."/>
      <w:lvlJc w:val="left"/>
      <w:pPr>
        <w:tabs>
          <w:tab w:val="num" w:pos="0"/>
        </w:tabs>
        <w:ind w:left="3228" w:hanging="360"/>
      </w:pPr>
      <w:rPr/>
    </w:lvl>
    <w:lvl w:ilvl="4">
      <w:start w:val="1"/>
      <w:isLgl/>
      <w:numFmt w:val="lowerLetter"/>
      <w:lvlText w:val="%5."/>
      <w:lvlJc w:val="left"/>
      <w:pPr>
        <w:tabs>
          <w:tab w:val="num" w:pos="0"/>
        </w:tabs>
        <w:ind w:left="3948" w:hanging="360"/>
      </w:pPr>
      <w:rPr/>
    </w:lvl>
    <w:lvl w:ilvl="5">
      <w:start w:val="1"/>
      <w:isLgl/>
      <w:numFmt w:val="lowerRoman"/>
      <w:lvlText w:val="%6."/>
      <w:lvlJc w:val="right"/>
      <w:pPr>
        <w:tabs>
          <w:tab w:val="num" w:pos="0"/>
        </w:tabs>
        <w:ind w:left="4668" w:hanging="180"/>
      </w:pPr>
      <w:rPr/>
    </w:lvl>
    <w:lvl w:ilvl="6">
      <w:start w:val="1"/>
      <w:isLgl/>
      <w:numFmt w:val="decimal"/>
      <w:lvlText w:val="%7."/>
      <w:lvlJc w:val="left"/>
      <w:pPr>
        <w:tabs>
          <w:tab w:val="num" w:pos="0"/>
        </w:tabs>
        <w:ind w:left="5388" w:hanging="360"/>
      </w:pPr>
      <w:rPr/>
    </w:lvl>
    <w:lvl w:ilvl="7">
      <w:start w:val="1"/>
      <w:isLgl/>
      <w:numFmt w:val="lowerLetter"/>
      <w:lvlText w:val="%8."/>
      <w:lvlJc w:val="left"/>
      <w:pPr>
        <w:tabs>
          <w:tab w:val="num" w:pos="0"/>
        </w:tabs>
        <w:ind w:left="6108" w:hanging="360"/>
      </w:pPr>
      <w:rPr/>
    </w:lvl>
    <w:lvl w:ilvl="8">
      <w:start w:val="1"/>
      <w:isLgl/>
      <w:numFmt w:val="lowerRoman"/>
      <w:lvlText w:val="%9."/>
      <w:lvlJc w:val="right"/>
      <w:pPr>
        <w:tabs>
          <w:tab w:val="num" w:pos="0"/>
        </w:tabs>
        <w:ind w:left="6828" w:hanging="180"/>
      </w:pPr>
      <w:rPr/>
    </w:lvl>
  </w:abstractNum>
  <w:abstractNum w:abstractNumId="11">
    <w:lvl w:ilvl="0">
      <w:start w:val="1"/>
      <w:isLgl/>
      <w:numFmt w:val="decimal"/>
      <w:lvlText w:val="%1."/>
      <w:lvlJc w:val="left"/>
      <w:pPr>
        <w:tabs>
          <w:tab w:val="num" w:pos="0"/>
        </w:tabs>
        <w:ind w:left="1790" w:hanging="360"/>
      </w:pPr>
      <w:rPr/>
    </w:lvl>
    <w:lvl w:ilvl="1">
      <w:start w:val="1"/>
      <w:isLgl/>
      <w:numFmt w:val="lowerLetter"/>
      <w:lvlText w:val="%2."/>
      <w:lvlJc w:val="left"/>
      <w:pPr>
        <w:tabs>
          <w:tab w:val="num" w:pos="0"/>
        </w:tabs>
        <w:ind w:left="2510" w:hanging="360"/>
      </w:pPr>
      <w:rPr/>
    </w:lvl>
    <w:lvl w:ilvl="2">
      <w:start w:val="1"/>
      <w:isLgl/>
      <w:numFmt w:val="lowerRoman"/>
      <w:lvlText w:val="%3."/>
      <w:lvlJc w:val="right"/>
      <w:pPr>
        <w:tabs>
          <w:tab w:val="num" w:pos="0"/>
        </w:tabs>
        <w:ind w:left="3230" w:hanging="180"/>
      </w:pPr>
      <w:rPr/>
    </w:lvl>
    <w:lvl w:ilvl="3">
      <w:start w:val="1"/>
      <w:isLgl/>
      <w:numFmt w:val="decimal"/>
      <w:lvlText w:val="%4."/>
      <w:lvlJc w:val="left"/>
      <w:pPr>
        <w:tabs>
          <w:tab w:val="num" w:pos="0"/>
        </w:tabs>
        <w:ind w:left="3950" w:hanging="360"/>
      </w:pPr>
      <w:rPr/>
    </w:lvl>
    <w:lvl w:ilvl="4">
      <w:start w:val="1"/>
      <w:isLgl/>
      <w:numFmt w:val="lowerLetter"/>
      <w:lvlText w:val="%5."/>
      <w:lvlJc w:val="left"/>
      <w:pPr>
        <w:tabs>
          <w:tab w:val="num" w:pos="0"/>
        </w:tabs>
        <w:ind w:left="4670" w:hanging="360"/>
      </w:pPr>
      <w:rPr/>
    </w:lvl>
    <w:lvl w:ilvl="5">
      <w:start w:val="1"/>
      <w:isLgl/>
      <w:numFmt w:val="lowerRoman"/>
      <w:lvlText w:val="%6."/>
      <w:lvlJc w:val="right"/>
      <w:pPr>
        <w:tabs>
          <w:tab w:val="num" w:pos="0"/>
        </w:tabs>
        <w:ind w:left="5390" w:hanging="180"/>
      </w:pPr>
      <w:rPr/>
    </w:lvl>
    <w:lvl w:ilvl="6">
      <w:start w:val="1"/>
      <w:isLgl/>
      <w:numFmt w:val="decimal"/>
      <w:lvlText w:val="%7."/>
      <w:lvlJc w:val="left"/>
      <w:pPr>
        <w:tabs>
          <w:tab w:val="num" w:pos="0"/>
        </w:tabs>
        <w:ind w:left="6110" w:hanging="360"/>
      </w:pPr>
      <w:rPr/>
    </w:lvl>
    <w:lvl w:ilvl="7">
      <w:start w:val="1"/>
      <w:isLgl/>
      <w:numFmt w:val="lowerLetter"/>
      <w:lvlText w:val="%8."/>
      <w:lvlJc w:val="left"/>
      <w:pPr>
        <w:tabs>
          <w:tab w:val="num" w:pos="0"/>
        </w:tabs>
        <w:ind w:left="6830" w:hanging="360"/>
      </w:pPr>
      <w:rPr/>
    </w:lvl>
    <w:lvl w:ilvl="8">
      <w:start w:val="1"/>
      <w:isLgl/>
      <w:numFmt w:val="lowerRoman"/>
      <w:lvlText w:val="%9."/>
      <w:lvlJc w:val="right"/>
      <w:pPr>
        <w:tabs>
          <w:tab w:val="num" w:pos="0"/>
        </w:tabs>
        <w:ind w:left="7550" w:hanging="180"/>
      </w:pPr>
      <w:rPr/>
    </w:lvl>
  </w:abstractNum>
  <w:abstractNum w:abstractNumId="12">
    <w:lvl w:ilvl="0">
      <w:start w:val="1"/>
      <w:isLgl/>
      <w:numFmt w:val="bullet"/>
      <w:lvlText w:val=""/>
      <w:lvlJc w:val="left"/>
      <w:pPr>
        <w:tabs>
          <w:tab w:val="num" w:pos="0"/>
        </w:tabs>
        <w:ind w:left="720" w:hanging="360"/>
      </w:pPr>
      <w:rPr>
        <w:rFonts w:ascii="Symbol" w:hAnsi="Symbol" w:cs="Symbol"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13">
    <w:lvl w:ilvl="0">
      <w:start w:val="1"/>
      <w:isLgl/>
      <w:numFmt w:val="bullet"/>
      <w:lvlText w:val=""/>
      <w:lvlJc w:val="left"/>
      <w:pPr>
        <w:tabs>
          <w:tab w:val="num" w:pos="0"/>
        </w:tabs>
        <w:ind w:left="1146" w:hanging="360"/>
      </w:pPr>
      <w:rPr>
        <w:rFonts w:ascii="Symbol" w:hAnsi="Symbol" w:cs="Symbol" w:hint="default"/>
      </w:rPr>
    </w:lvl>
    <w:lvl w:ilvl="1">
      <w:start w:val="1"/>
      <w:isLgl/>
      <w:numFmt w:val="bullet"/>
      <w:lvlText w:val="o"/>
      <w:lvlJc w:val="left"/>
      <w:pPr>
        <w:tabs>
          <w:tab w:val="num" w:pos="0"/>
        </w:tabs>
        <w:ind w:left="1866" w:hanging="360"/>
      </w:pPr>
      <w:rPr>
        <w:rFonts w:ascii="Courier New" w:hAnsi="Courier New" w:cs="Courier New" w:hint="default"/>
      </w:rPr>
    </w:lvl>
    <w:lvl w:ilvl="2">
      <w:start w:val="1"/>
      <w:isLgl/>
      <w:numFmt w:val="bullet"/>
      <w:lvlText w:val=""/>
      <w:lvlJc w:val="left"/>
      <w:pPr>
        <w:tabs>
          <w:tab w:val="num" w:pos="0"/>
        </w:tabs>
        <w:ind w:left="2586" w:hanging="360"/>
      </w:pPr>
      <w:rPr>
        <w:rFonts w:ascii="Wingdings" w:hAnsi="Wingdings" w:cs="Wingdings" w:hint="default"/>
      </w:rPr>
    </w:lvl>
    <w:lvl w:ilvl="3">
      <w:start w:val="1"/>
      <w:isLgl/>
      <w:numFmt w:val="bullet"/>
      <w:lvlText w:val=""/>
      <w:lvlJc w:val="left"/>
      <w:pPr>
        <w:tabs>
          <w:tab w:val="num" w:pos="0"/>
        </w:tabs>
        <w:ind w:left="3306" w:hanging="360"/>
      </w:pPr>
      <w:rPr>
        <w:rFonts w:ascii="Symbol" w:hAnsi="Symbol" w:cs="Symbol" w:hint="default"/>
      </w:rPr>
    </w:lvl>
    <w:lvl w:ilvl="4">
      <w:start w:val="1"/>
      <w:isLgl/>
      <w:numFmt w:val="bullet"/>
      <w:lvlText w:val="o"/>
      <w:lvlJc w:val="left"/>
      <w:pPr>
        <w:tabs>
          <w:tab w:val="num" w:pos="0"/>
        </w:tabs>
        <w:ind w:left="4026" w:hanging="360"/>
      </w:pPr>
      <w:rPr>
        <w:rFonts w:ascii="Courier New" w:hAnsi="Courier New" w:cs="Courier New" w:hint="default"/>
      </w:rPr>
    </w:lvl>
    <w:lvl w:ilvl="5">
      <w:start w:val="1"/>
      <w:isLgl/>
      <w:numFmt w:val="bullet"/>
      <w:lvlText w:val=""/>
      <w:lvlJc w:val="left"/>
      <w:pPr>
        <w:tabs>
          <w:tab w:val="num" w:pos="0"/>
        </w:tabs>
        <w:ind w:left="4746" w:hanging="360"/>
      </w:pPr>
      <w:rPr>
        <w:rFonts w:ascii="Wingdings" w:hAnsi="Wingdings" w:cs="Wingdings" w:hint="default"/>
      </w:rPr>
    </w:lvl>
    <w:lvl w:ilvl="6">
      <w:start w:val="1"/>
      <w:isLgl/>
      <w:numFmt w:val="bullet"/>
      <w:lvlText w:val=""/>
      <w:lvlJc w:val="left"/>
      <w:pPr>
        <w:tabs>
          <w:tab w:val="num" w:pos="0"/>
        </w:tabs>
        <w:ind w:left="5466" w:hanging="360"/>
      </w:pPr>
      <w:rPr>
        <w:rFonts w:ascii="Symbol" w:hAnsi="Symbol" w:cs="Symbol" w:hint="default"/>
      </w:rPr>
    </w:lvl>
    <w:lvl w:ilvl="7">
      <w:start w:val="1"/>
      <w:isLgl/>
      <w:numFmt w:val="bullet"/>
      <w:lvlText w:val="o"/>
      <w:lvlJc w:val="left"/>
      <w:pPr>
        <w:tabs>
          <w:tab w:val="num" w:pos="0"/>
        </w:tabs>
        <w:ind w:left="6186" w:hanging="360"/>
      </w:pPr>
      <w:rPr>
        <w:rFonts w:ascii="Courier New" w:hAnsi="Courier New" w:cs="Courier New" w:hint="default"/>
      </w:rPr>
    </w:lvl>
    <w:lvl w:ilvl="8">
      <w:start w:val="1"/>
      <w:isLgl/>
      <w:numFmt w:val="bullet"/>
      <w:lvlText w:val=""/>
      <w:lvlJc w:val="left"/>
      <w:pPr>
        <w:tabs>
          <w:tab w:val="num" w:pos="0"/>
        </w:tabs>
        <w:ind w:left="6906" w:hanging="360"/>
      </w:pPr>
      <w:rPr>
        <w:rFonts w:ascii="Wingdings" w:hAnsi="Wingdings" w:cs="Wingdings" w:hint="default"/>
      </w:rPr>
    </w:lvl>
  </w:abstractNum>
  <w:abstractNum w:abstractNumId="14">
    <w:lvl w:ilvl="0">
      <w:start w:val="3"/>
      <w:isLgl/>
      <w:numFmt w:val="decimal"/>
      <w:lvlText w:val="%1."/>
      <w:lvlJc w:val="left"/>
      <w:pPr>
        <w:tabs>
          <w:tab w:val="num" w:pos="0"/>
        </w:tabs>
        <w:ind w:left="540" w:hanging="540"/>
      </w:pPr>
      <w:rPr/>
    </w:lvl>
    <w:lvl w:ilvl="1">
      <w:start w:val="1"/>
      <w:isLgl/>
      <w:numFmt w:val="decimal"/>
      <w:lvlText w:val="%1.%2."/>
      <w:lvlJc w:val="left"/>
      <w:pPr>
        <w:tabs>
          <w:tab w:val="num" w:pos="0"/>
        </w:tabs>
        <w:ind w:left="540" w:hanging="540"/>
      </w:pPr>
      <w:rPr/>
    </w:lvl>
    <w:lvl w:ilvl="2">
      <w:start w:val="1"/>
      <w:isLgl/>
      <w:numFmt w:val="decimal"/>
      <w:lvlText w:val="%1.%2.%3."/>
      <w:lvlJc w:val="left"/>
      <w:pPr>
        <w:tabs>
          <w:tab w:val="num" w:pos="0"/>
        </w:tabs>
        <w:ind w:left="720" w:hanging="720"/>
      </w:pPr>
      <w:rPr/>
    </w:lvl>
    <w:lvl w:ilvl="3">
      <w:start w:val="1"/>
      <w:isLgl/>
      <w:numFmt w:val="decimal"/>
      <w:lvlText w:val="%1.%2.%3.%4."/>
      <w:lvlJc w:val="left"/>
      <w:pPr>
        <w:tabs>
          <w:tab w:val="num" w:pos="0"/>
        </w:tabs>
        <w:ind w:left="720" w:hanging="720"/>
      </w:pPr>
      <w:rPr/>
    </w:lvl>
    <w:lvl w:ilvl="4">
      <w:start w:val="1"/>
      <w:isLgl/>
      <w:numFmt w:val="decimal"/>
      <w:lvlText w:val="%1.%2.%3.%4.%5."/>
      <w:lvlJc w:val="left"/>
      <w:pPr>
        <w:tabs>
          <w:tab w:val="num" w:pos="0"/>
        </w:tabs>
        <w:ind w:left="1080" w:hanging="1080"/>
      </w:pPr>
      <w:rPr/>
    </w:lvl>
    <w:lvl w:ilvl="5">
      <w:start w:val="1"/>
      <w:isLgl/>
      <w:numFmt w:val="decimal"/>
      <w:lvlText w:val="%1.%2.%3.%4.%5.%6."/>
      <w:lvlJc w:val="left"/>
      <w:pPr>
        <w:tabs>
          <w:tab w:val="num" w:pos="0"/>
        </w:tabs>
        <w:ind w:left="1080" w:hanging="1080"/>
      </w:pPr>
      <w:rPr/>
    </w:lvl>
    <w:lvl w:ilvl="6">
      <w:start w:val="1"/>
      <w:isLgl/>
      <w:numFmt w:val="decimal"/>
      <w:lvlText w:val="%1.%2.%3.%4.%5.%6.%7."/>
      <w:lvlJc w:val="left"/>
      <w:pPr>
        <w:tabs>
          <w:tab w:val="num" w:pos="0"/>
        </w:tabs>
        <w:ind w:left="1440" w:hanging="1440"/>
      </w:pPr>
      <w:rPr/>
    </w:lvl>
    <w:lvl w:ilvl="7">
      <w:start w:val="1"/>
      <w:isLgl/>
      <w:numFmt w:val="decimal"/>
      <w:lvlText w:val="%1.%2.%3.%4.%5.%6.%7.%8."/>
      <w:lvlJc w:val="left"/>
      <w:pPr>
        <w:tabs>
          <w:tab w:val="num" w:pos="0"/>
        </w:tabs>
        <w:ind w:left="1440" w:hanging="1440"/>
      </w:pPr>
      <w:rPr/>
    </w:lvl>
    <w:lvl w:ilvl="8">
      <w:start w:val="1"/>
      <w:isLgl/>
      <w:numFmt w:val="decimal"/>
      <w:lvlText w:val="%1.%2.%3.%4.%5.%6.%7.%8.%9."/>
      <w:lvlJc w:val="left"/>
      <w:pPr>
        <w:tabs>
          <w:tab w:val="num" w:pos="0"/>
        </w:tabs>
        <w:ind w:left="1800" w:hanging="1800"/>
      </w:pPr>
      <w:rPr/>
    </w:lvl>
  </w:abstractNum>
  <w:abstractNum w:abstractNumId="15">
    <w:lvl w:ilvl="0">
      <w:start w:val="1"/>
      <w:isLgl/>
      <w:numFmt w:val="bullet"/>
      <w:lvlText w:val=""/>
      <w:lvlJc w:val="left"/>
      <w:pPr>
        <w:tabs>
          <w:tab w:val="num" w:pos="0"/>
        </w:tabs>
        <w:ind w:left="4330" w:hanging="360"/>
      </w:pPr>
      <w:rPr>
        <w:rFonts w:ascii="Symbol" w:hAnsi="Symbol" w:cs="Symbol" w:hint="default"/>
      </w:rPr>
    </w:lvl>
    <w:lvl w:ilvl="1">
      <w:start w:val="1"/>
      <w:isLgl/>
      <w:numFmt w:val="bullet"/>
      <w:lvlText w:val="o"/>
      <w:lvlJc w:val="left"/>
      <w:pPr>
        <w:tabs>
          <w:tab w:val="num" w:pos="0"/>
        </w:tabs>
        <w:ind w:left="2149" w:hanging="360"/>
      </w:pPr>
      <w:rPr>
        <w:rFonts w:ascii="Courier New" w:hAnsi="Courier New" w:cs="Courier New" w:hint="default"/>
      </w:rPr>
    </w:lvl>
    <w:lvl w:ilvl="2">
      <w:start w:val="1"/>
      <w:isLgl/>
      <w:numFmt w:val="bullet"/>
      <w:lvlText w:val=""/>
      <w:lvlJc w:val="left"/>
      <w:pPr>
        <w:tabs>
          <w:tab w:val="num" w:pos="0"/>
        </w:tabs>
        <w:ind w:left="2869" w:hanging="360"/>
      </w:pPr>
      <w:rPr>
        <w:rFonts w:ascii="Wingdings" w:hAnsi="Wingdings" w:cs="Wingdings" w:hint="default"/>
      </w:rPr>
    </w:lvl>
    <w:lvl w:ilvl="3">
      <w:start w:val="1"/>
      <w:isLgl/>
      <w:numFmt w:val="bullet"/>
      <w:lvlText w:val=""/>
      <w:lvlJc w:val="left"/>
      <w:pPr>
        <w:tabs>
          <w:tab w:val="num" w:pos="0"/>
        </w:tabs>
        <w:ind w:left="3589" w:hanging="360"/>
      </w:pPr>
      <w:rPr>
        <w:rFonts w:ascii="Symbol" w:hAnsi="Symbol" w:cs="Symbol" w:hint="default"/>
      </w:rPr>
    </w:lvl>
    <w:lvl w:ilvl="4">
      <w:start w:val="1"/>
      <w:isLgl/>
      <w:numFmt w:val="bullet"/>
      <w:lvlText w:val="o"/>
      <w:lvlJc w:val="left"/>
      <w:pPr>
        <w:tabs>
          <w:tab w:val="num" w:pos="0"/>
        </w:tabs>
        <w:ind w:left="4309" w:hanging="360"/>
      </w:pPr>
      <w:rPr>
        <w:rFonts w:ascii="Courier New" w:hAnsi="Courier New" w:cs="Courier New" w:hint="default"/>
      </w:rPr>
    </w:lvl>
    <w:lvl w:ilvl="5">
      <w:start w:val="1"/>
      <w:isLgl/>
      <w:numFmt w:val="bullet"/>
      <w:lvlText w:val=""/>
      <w:lvlJc w:val="left"/>
      <w:pPr>
        <w:tabs>
          <w:tab w:val="num" w:pos="0"/>
        </w:tabs>
        <w:ind w:left="5029" w:hanging="360"/>
      </w:pPr>
      <w:rPr>
        <w:rFonts w:ascii="Wingdings" w:hAnsi="Wingdings" w:cs="Wingdings" w:hint="default"/>
      </w:rPr>
    </w:lvl>
    <w:lvl w:ilvl="6">
      <w:start w:val="1"/>
      <w:isLgl/>
      <w:numFmt w:val="bullet"/>
      <w:lvlText w:val=""/>
      <w:lvlJc w:val="left"/>
      <w:pPr>
        <w:tabs>
          <w:tab w:val="num" w:pos="0"/>
        </w:tabs>
        <w:ind w:left="5749" w:hanging="360"/>
      </w:pPr>
      <w:rPr>
        <w:rFonts w:ascii="Symbol" w:hAnsi="Symbol" w:cs="Symbol" w:hint="default"/>
      </w:rPr>
    </w:lvl>
    <w:lvl w:ilvl="7">
      <w:start w:val="1"/>
      <w:isLgl/>
      <w:numFmt w:val="bullet"/>
      <w:lvlText w:val="o"/>
      <w:lvlJc w:val="left"/>
      <w:pPr>
        <w:tabs>
          <w:tab w:val="num" w:pos="0"/>
        </w:tabs>
        <w:ind w:left="6469" w:hanging="360"/>
      </w:pPr>
      <w:rPr>
        <w:rFonts w:ascii="Courier New" w:hAnsi="Courier New" w:cs="Courier New" w:hint="default"/>
      </w:rPr>
    </w:lvl>
    <w:lvl w:ilvl="8">
      <w:start w:val="1"/>
      <w:isLgl/>
      <w:numFmt w:val="bullet"/>
      <w:lvlText w:val=""/>
      <w:lvlJc w:val="left"/>
      <w:pPr>
        <w:tabs>
          <w:tab w:val="num" w:pos="0"/>
        </w:tabs>
        <w:ind w:left="7189" w:hanging="360"/>
      </w:pPr>
      <w:rPr>
        <w:rFonts w:ascii="Wingdings" w:hAnsi="Wingdings" w:cs="Wingdings" w:hint="default"/>
      </w:rPr>
    </w:lvl>
  </w:abstractNum>
  <w:abstractNum w:abstractNumId="16">
    <w:lvl w:ilvl="0">
      <w:start w:val="1"/>
      <w:isLgl/>
      <w:numFmt w:val="bullet"/>
      <w:lvlText w:val=""/>
      <w:lvlJc w:val="left"/>
      <w:pPr>
        <w:tabs>
          <w:tab w:val="num" w:pos="0"/>
        </w:tabs>
        <w:ind w:left="1353" w:hanging="360"/>
      </w:pPr>
      <w:rPr>
        <w:rFonts w:ascii="Symbol" w:hAnsi="Symbol" w:cs="Symbol" w:hint="default"/>
        <w:color w:val="000000"/>
      </w:rPr>
    </w:lvl>
    <w:lvl w:ilvl="1">
      <w:start w:val="1"/>
      <w:isLgl/>
      <w:numFmt w:val="bullet"/>
      <w:lvlText w:val="o"/>
      <w:lvlJc w:val="left"/>
      <w:pPr>
        <w:tabs>
          <w:tab w:val="num" w:pos="0"/>
        </w:tabs>
        <w:ind w:left="1156" w:hanging="360"/>
      </w:pPr>
      <w:rPr>
        <w:rFonts w:ascii="Courier New" w:hAnsi="Courier New" w:cs="Courier New" w:hint="default"/>
      </w:rPr>
    </w:lvl>
    <w:lvl w:ilvl="2">
      <w:start w:val="1"/>
      <w:isLgl/>
      <w:numFmt w:val="bullet"/>
      <w:lvlText w:val=""/>
      <w:lvlJc w:val="left"/>
      <w:pPr>
        <w:tabs>
          <w:tab w:val="num" w:pos="0"/>
        </w:tabs>
        <w:ind w:left="1876" w:hanging="360"/>
      </w:pPr>
      <w:rPr>
        <w:rFonts w:ascii="Wingdings" w:hAnsi="Wingdings" w:cs="Wingdings" w:hint="default"/>
      </w:rPr>
    </w:lvl>
    <w:lvl w:ilvl="3">
      <w:start w:val="1"/>
      <w:isLgl/>
      <w:numFmt w:val="bullet"/>
      <w:lvlText w:val=""/>
      <w:lvlJc w:val="left"/>
      <w:pPr>
        <w:tabs>
          <w:tab w:val="num" w:pos="0"/>
        </w:tabs>
        <w:ind w:left="2596" w:hanging="360"/>
      </w:pPr>
      <w:rPr>
        <w:rFonts w:ascii="Symbol" w:hAnsi="Symbol" w:cs="Symbol" w:hint="default"/>
      </w:rPr>
    </w:lvl>
    <w:lvl w:ilvl="4">
      <w:start w:val="1"/>
      <w:isLgl/>
      <w:numFmt w:val="bullet"/>
      <w:lvlText w:val="o"/>
      <w:lvlJc w:val="left"/>
      <w:pPr>
        <w:tabs>
          <w:tab w:val="num" w:pos="0"/>
        </w:tabs>
        <w:ind w:left="3316" w:hanging="360"/>
      </w:pPr>
      <w:rPr>
        <w:rFonts w:ascii="Courier New" w:hAnsi="Courier New" w:cs="Courier New" w:hint="default"/>
      </w:rPr>
    </w:lvl>
    <w:lvl w:ilvl="5">
      <w:start w:val="1"/>
      <w:isLgl/>
      <w:numFmt w:val="bullet"/>
      <w:lvlText w:val=""/>
      <w:lvlJc w:val="left"/>
      <w:pPr>
        <w:tabs>
          <w:tab w:val="num" w:pos="0"/>
        </w:tabs>
        <w:ind w:left="4036" w:hanging="360"/>
      </w:pPr>
      <w:rPr>
        <w:rFonts w:ascii="Wingdings" w:hAnsi="Wingdings" w:cs="Wingdings" w:hint="default"/>
      </w:rPr>
    </w:lvl>
    <w:lvl w:ilvl="6">
      <w:start w:val="1"/>
      <w:isLgl/>
      <w:numFmt w:val="bullet"/>
      <w:lvlText w:val=""/>
      <w:lvlJc w:val="left"/>
      <w:pPr>
        <w:tabs>
          <w:tab w:val="num" w:pos="0"/>
        </w:tabs>
        <w:ind w:left="4756" w:hanging="360"/>
      </w:pPr>
      <w:rPr>
        <w:rFonts w:ascii="Symbol" w:hAnsi="Symbol" w:cs="Symbol" w:hint="default"/>
      </w:rPr>
    </w:lvl>
    <w:lvl w:ilvl="7">
      <w:start w:val="1"/>
      <w:isLgl/>
      <w:numFmt w:val="bullet"/>
      <w:lvlText w:val="o"/>
      <w:lvlJc w:val="left"/>
      <w:pPr>
        <w:tabs>
          <w:tab w:val="num" w:pos="0"/>
        </w:tabs>
        <w:ind w:left="5476" w:hanging="360"/>
      </w:pPr>
      <w:rPr>
        <w:rFonts w:ascii="Courier New" w:hAnsi="Courier New" w:cs="Courier New" w:hint="default"/>
      </w:rPr>
    </w:lvl>
    <w:lvl w:ilvl="8">
      <w:start w:val="1"/>
      <w:isLgl/>
      <w:numFmt w:val="bullet"/>
      <w:lvlText w:val=""/>
      <w:lvlJc w:val="left"/>
      <w:pPr>
        <w:tabs>
          <w:tab w:val="num" w:pos="0"/>
        </w:tabs>
        <w:ind w:left="6196" w:hanging="360"/>
      </w:pPr>
      <w:rPr>
        <w:rFonts w:ascii="Wingdings" w:hAnsi="Wingdings" w:cs="Wingdings" w:hint="default"/>
      </w:rPr>
    </w:lvl>
  </w:abstractNum>
  <w:abstractNum w:abstractNumId="17">
    <w:lvl w:ilvl="0">
      <w:start w:val="1"/>
      <w:isLgl/>
      <w:numFmt w:val="bullet"/>
      <w:lvlText w:val=""/>
      <w:lvlJc w:val="left"/>
      <w:pPr>
        <w:tabs>
          <w:tab w:val="num" w:pos="0"/>
        </w:tabs>
        <w:ind w:left="1429" w:hanging="360"/>
      </w:pPr>
      <w:rPr>
        <w:rFonts w:ascii="Symbol" w:hAnsi="Symbol" w:cs="Symbol" w:hint="default"/>
      </w:rPr>
    </w:lvl>
    <w:lvl w:ilvl="1">
      <w:start w:val="1"/>
      <w:isLgl/>
      <w:numFmt w:val="bullet"/>
      <w:lvlText w:val="o"/>
      <w:lvlJc w:val="left"/>
      <w:pPr>
        <w:tabs>
          <w:tab w:val="num" w:pos="0"/>
        </w:tabs>
        <w:ind w:left="2149" w:hanging="360"/>
      </w:pPr>
      <w:rPr>
        <w:rFonts w:ascii="Courier New" w:hAnsi="Courier New" w:cs="Courier New" w:hint="default"/>
      </w:rPr>
    </w:lvl>
    <w:lvl w:ilvl="2">
      <w:start w:val="1"/>
      <w:isLgl/>
      <w:numFmt w:val="bullet"/>
      <w:lvlText w:val=""/>
      <w:lvlJc w:val="left"/>
      <w:pPr>
        <w:tabs>
          <w:tab w:val="num" w:pos="0"/>
        </w:tabs>
        <w:ind w:left="2869" w:hanging="360"/>
      </w:pPr>
      <w:rPr>
        <w:rFonts w:ascii="Wingdings" w:hAnsi="Wingdings" w:cs="Wingdings" w:hint="default"/>
      </w:rPr>
    </w:lvl>
    <w:lvl w:ilvl="3">
      <w:start w:val="1"/>
      <w:isLgl/>
      <w:numFmt w:val="bullet"/>
      <w:lvlText w:val=""/>
      <w:lvlJc w:val="left"/>
      <w:pPr>
        <w:tabs>
          <w:tab w:val="num" w:pos="0"/>
        </w:tabs>
        <w:ind w:left="3589" w:hanging="360"/>
      </w:pPr>
      <w:rPr>
        <w:rFonts w:ascii="Symbol" w:hAnsi="Symbol" w:cs="Symbol" w:hint="default"/>
      </w:rPr>
    </w:lvl>
    <w:lvl w:ilvl="4">
      <w:start w:val="1"/>
      <w:isLgl/>
      <w:numFmt w:val="bullet"/>
      <w:lvlText w:val="o"/>
      <w:lvlJc w:val="left"/>
      <w:pPr>
        <w:tabs>
          <w:tab w:val="num" w:pos="0"/>
        </w:tabs>
        <w:ind w:left="4309" w:hanging="360"/>
      </w:pPr>
      <w:rPr>
        <w:rFonts w:ascii="Courier New" w:hAnsi="Courier New" w:cs="Courier New" w:hint="default"/>
      </w:rPr>
    </w:lvl>
    <w:lvl w:ilvl="5">
      <w:start w:val="1"/>
      <w:isLgl/>
      <w:numFmt w:val="bullet"/>
      <w:lvlText w:val=""/>
      <w:lvlJc w:val="left"/>
      <w:pPr>
        <w:tabs>
          <w:tab w:val="num" w:pos="0"/>
        </w:tabs>
        <w:ind w:left="5029" w:hanging="360"/>
      </w:pPr>
      <w:rPr>
        <w:rFonts w:ascii="Wingdings" w:hAnsi="Wingdings" w:cs="Wingdings" w:hint="default"/>
      </w:rPr>
    </w:lvl>
    <w:lvl w:ilvl="6">
      <w:start w:val="1"/>
      <w:isLgl/>
      <w:numFmt w:val="bullet"/>
      <w:lvlText w:val=""/>
      <w:lvlJc w:val="left"/>
      <w:pPr>
        <w:tabs>
          <w:tab w:val="num" w:pos="0"/>
        </w:tabs>
        <w:ind w:left="5749" w:hanging="360"/>
      </w:pPr>
      <w:rPr>
        <w:rFonts w:ascii="Symbol" w:hAnsi="Symbol" w:cs="Symbol" w:hint="default"/>
      </w:rPr>
    </w:lvl>
    <w:lvl w:ilvl="7">
      <w:start w:val="1"/>
      <w:isLgl/>
      <w:numFmt w:val="bullet"/>
      <w:lvlText w:val="o"/>
      <w:lvlJc w:val="left"/>
      <w:pPr>
        <w:tabs>
          <w:tab w:val="num" w:pos="0"/>
        </w:tabs>
        <w:ind w:left="6469" w:hanging="360"/>
      </w:pPr>
      <w:rPr>
        <w:rFonts w:ascii="Courier New" w:hAnsi="Courier New" w:cs="Courier New" w:hint="default"/>
      </w:rPr>
    </w:lvl>
    <w:lvl w:ilvl="8">
      <w:start w:val="1"/>
      <w:isLgl/>
      <w:numFmt w:val="bullet"/>
      <w:lvlText w:val=""/>
      <w:lvlJc w:val="left"/>
      <w:pPr>
        <w:tabs>
          <w:tab w:val="num" w:pos="0"/>
        </w:tabs>
        <w:ind w:left="7189" w:hanging="360"/>
      </w:pPr>
      <w:rPr>
        <w:rFonts w:ascii="Wingdings" w:hAnsi="Wingdings" w:cs="Wingdings" w:hint="default"/>
      </w:rPr>
    </w:lvl>
  </w:abstractNum>
  <w:abstractNum w:abstractNumId="18">
    <w:lvl w:ilvl="0">
      <w:start w:val="1"/>
      <w:isLgl/>
      <w:numFmt w:val="bullet"/>
      <w:lvlText w:val=""/>
      <w:lvlJc w:val="left"/>
      <w:pPr>
        <w:tabs>
          <w:tab w:val="num" w:pos="720"/>
        </w:tabs>
        <w:ind w:left="720" w:hanging="360"/>
      </w:pPr>
      <w:rPr>
        <w:rFonts w:ascii="Symbol" w:hAnsi="Symbol" w:cs="Symbol" w:hint="default"/>
      </w:rPr>
    </w:lvl>
    <w:lvl w:ilvl="1">
      <w:start w:val="1"/>
      <w:isLgl/>
      <w:numFmt w:val="bullet"/>
      <w:lvlText w:val="o"/>
      <w:lvlJc w:val="left"/>
      <w:pPr>
        <w:tabs>
          <w:tab w:val="num" w:pos="1440"/>
        </w:tabs>
        <w:ind w:left="1440" w:hanging="360"/>
      </w:pPr>
      <w:rPr>
        <w:rFonts w:ascii="Courier New" w:hAnsi="Courier New" w:cs="Courier New" w:hint="default"/>
      </w:rPr>
    </w:lvl>
    <w:lvl w:ilvl="2">
      <w:start w:val="1"/>
      <w:isLgl/>
      <w:numFmt w:val="bullet"/>
      <w:lvlText w:val=""/>
      <w:lvlJc w:val="left"/>
      <w:pPr>
        <w:tabs>
          <w:tab w:val="num" w:pos="2160"/>
        </w:tabs>
        <w:ind w:left="2160" w:hanging="360"/>
      </w:pPr>
      <w:rPr>
        <w:rFonts w:ascii="Wingdings" w:hAnsi="Wingdings" w:cs="Wingdings" w:hint="default"/>
      </w:rPr>
    </w:lvl>
    <w:lvl w:ilvl="3">
      <w:start w:val="1"/>
      <w:isLgl/>
      <w:numFmt w:val="bullet"/>
      <w:lvlText w:val=""/>
      <w:lvlJc w:val="left"/>
      <w:pPr>
        <w:tabs>
          <w:tab w:val="num" w:pos="2880"/>
        </w:tabs>
        <w:ind w:left="2880" w:hanging="360"/>
      </w:pPr>
      <w:rPr>
        <w:rFonts w:ascii="Symbol" w:hAnsi="Symbol" w:cs="Symbol" w:hint="default"/>
      </w:rPr>
    </w:lvl>
    <w:lvl w:ilvl="4">
      <w:start w:val="1"/>
      <w:isLgl/>
      <w:numFmt w:val="bullet"/>
      <w:lvlText w:val="o"/>
      <w:lvlJc w:val="left"/>
      <w:pPr>
        <w:tabs>
          <w:tab w:val="num" w:pos="3600"/>
        </w:tabs>
        <w:ind w:left="3600" w:hanging="360"/>
      </w:pPr>
      <w:rPr>
        <w:rFonts w:ascii="Courier New" w:hAnsi="Courier New" w:cs="Courier New" w:hint="default"/>
      </w:rPr>
    </w:lvl>
    <w:lvl w:ilvl="5">
      <w:start w:val="1"/>
      <w:isLgl/>
      <w:numFmt w:val="bullet"/>
      <w:lvlText w:val=""/>
      <w:lvlJc w:val="left"/>
      <w:pPr>
        <w:tabs>
          <w:tab w:val="num" w:pos="4320"/>
        </w:tabs>
        <w:ind w:left="4320" w:hanging="360"/>
      </w:pPr>
      <w:rPr>
        <w:rFonts w:ascii="Wingdings" w:hAnsi="Wingdings" w:cs="Wingdings" w:hint="default"/>
      </w:rPr>
    </w:lvl>
    <w:lvl w:ilvl="6">
      <w:start w:val="1"/>
      <w:isLgl/>
      <w:numFmt w:val="bullet"/>
      <w:lvlText w:val=""/>
      <w:lvlJc w:val="left"/>
      <w:pPr>
        <w:tabs>
          <w:tab w:val="num" w:pos="5040"/>
        </w:tabs>
        <w:ind w:left="5040" w:hanging="360"/>
      </w:pPr>
      <w:rPr>
        <w:rFonts w:ascii="Symbol" w:hAnsi="Symbol" w:cs="Symbol" w:hint="default"/>
      </w:rPr>
    </w:lvl>
    <w:lvl w:ilvl="7">
      <w:start w:val="1"/>
      <w:isLgl/>
      <w:numFmt w:val="bullet"/>
      <w:lvlText w:val="o"/>
      <w:lvlJc w:val="left"/>
      <w:pPr>
        <w:tabs>
          <w:tab w:val="num" w:pos="5760"/>
        </w:tabs>
        <w:ind w:left="5760" w:hanging="360"/>
      </w:pPr>
      <w:rPr>
        <w:rFonts w:ascii="Courier New" w:hAnsi="Courier New" w:cs="Courier New" w:hint="default"/>
      </w:rPr>
    </w:lvl>
    <w:lvl w:ilvl="8">
      <w:start w:val="1"/>
      <w:isLgl/>
      <w:numFmt w:val="bullet"/>
      <w:lvlText w:val=""/>
      <w:lvlJc w:val="left"/>
      <w:pPr>
        <w:tabs>
          <w:tab w:val="num" w:pos="6480"/>
        </w:tabs>
        <w:ind w:left="6480" w:hanging="360"/>
      </w:pPr>
      <w:rPr>
        <w:rFonts w:ascii="Wingdings" w:hAnsi="Wingdings" w:cs="Wingdings" w:hint="default"/>
      </w:rPr>
    </w:lvl>
  </w:abstractNum>
  <w:abstractNum w:abstractNumId="19">
    <w:lvl w:ilvl="0">
      <w:start w:val="1"/>
      <w:isLgl/>
      <w:numFmt w:val="bullet"/>
      <w:lvlText w:val=""/>
      <w:lvlJc w:val="left"/>
      <w:pPr>
        <w:tabs>
          <w:tab w:val="num" w:pos="720"/>
        </w:tabs>
        <w:ind w:left="720" w:hanging="360"/>
      </w:pPr>
      <w:rPr>
        <w:rFonts w:ascii="Symbol" w:hAnsi="Symbol" w:cs="Symbol" w:hint="default"/>
      </w:rPr>
    </w:lvl>
    <w:lvl w:ilvl="1">
      <w:start w:val="1"/>
      <w:isLgl/>
      <w:numFmt w:val="bullet"/>
      <w:lvlText w:val="o"/>
      <w:lvlJc w:val="left"/>
      <w:pPr>
        <w:tabs>
          <w:tab w:val="num" w:pos="1440"/>
        </w:tabs>
        <w:ind w:left="1440" w:hanging="360"/>
      </w:pPr>
      <w:rPr>
        <w:rFonts w:ascii="Courier New" w:hAnsi="Courier New" w:cs="Courier New" w:hint="default"/>
      </w:rPr>
    </w:lvl>
    <w:lvl w:ilvl="2">
      <w:start w:val="1"/>
      <w:isLgl/>
      <w:numFmt w:val="bullet"/>
      <w:lvlText w:val=""/>
      <w:lvlJc w:val="left"/>
      <w:pPr>
        <w:tabs>
          <w:tab w:val="num" w:pos="2160"/>
        </w:tabs>
        <w:ind w:left="2160" w:hanging="360"/>
      </w:pPr>
      <w:rPr>
        <w:rFonts w:ascii="Wingdings" w:hAnsi="Wingdings" w:cs="Wingdings" w:hint="default"/>
      </w:rPr>
    </w:lvl>
    <w:lvl w:ilvl="3">
      <w:start w:val="1"/>
      <w:isLgl/>
      <w:numFmt w:val="bullet"/>
      <w:lvlText w:val=""/>
      <w:lvlJc w:val="left"/>
      <w:pPr>
        <w:tabs>
          <w:tab w:val="num" w:pos="2880"/>
        </w:tabs>
        <w:ind w:left="2880" w:hanging="360"/>
      </w:pPr>
      <w:rPr>
        <w:rFonts w:ascii="Symbol" w:hAnsi="Symbol" w:cs="Symbol" w:hint="default"/>
      </w:rPr>
    </w:lvl>
    <w:lvl w:ilvl="4">
      <w:start w:val="1"/>
      <w:isLgl/>
      <w:numFmt w:val="bullet"/>
      <w:lvlText w:val="o"/>
      <w:lvlJc w:val="left"/>
      <w:pPr>
        <w:tabs>
          <w:tab w:val="num" w:pos="3600"/>
        </w:tabs>
        <w:ind w:left="3600" w:hanging="360"/>
      </w:pPr>
      <w:rPr>
        <w:rFonts w:ascii="Courier New" w:hAnsi="Courier New" w:cs="Courier New" w:hint="default"/>
      </w:rPr>
    </w:lvl>
    <w:lvl w:ilvl="5">
      <w:start w:val="1"/>
      <w:isLgl/>
      <w:numFmt w:val="bullet"/>
      <w:lvlText w:val=""/>
      <w:lvlJc w:val="left"/>
      <w:pPr>
        <w:tabs>
          <w:tab w:val="num" w:pos="4320"/>
        </w:tabs>
        <w:ind w:left="4320" w:hanging="360"/>
      </w:pPr>
      <w:rPr>
        <w:rFonts w:ascii="Wingdings" w:hAnsi="Wingdings" w:cs="Wingdings" w:hint="default"/>
      </w:rPr>
    </w:lvl>
    <w:lvl w:ilvl="6">
      <w:start w:val="1"/>
      <w:isLgl/>
      <w:numFmt w:val="bullet"/>
      <w:lvlText w:val=""/>
      <w:lvlJc w:val="left"/>
      <w:pPr>
        <w:tabs>
          <w:tab w:val="num" w:pos="5040"/>
        </w:tabs>
        <w:ind w:left="5040" w:hanging="360"/>
      </w:pPr>
      <w:rPr>
        <w:rFonts w:ascii="Symbol" w:hAnsi="Symbol" w:cs="Symbol" w:hint="default"/>
      </w:rPr>
    </w:lvl>
    <w:lvl w:ilvl="7">
      <w:start w:val="1"/>
      <w:isLgl/>
      <w:numFmt w:val="bullet"/>
      <w:lvlText w:val="o"/>
      <w:lvlJc w:val="left"/>
      <w:pPr>
        <w:tabs>
          <w:tab w:val="num" w:pos="5760"/>
        </w:tabs>
        <w:ind w:left="5760" w:hanging="360"/>
      </w:pPr>
      <w:rPr>
        <w:rFonts w:ascii="Courier New" w:hAnsi="Courier New" w:cs="Courier New" w:hint="default"/>
      </w:rPr>
    </w:lvl>
    <w:lvl w:ilvl="8">
      <w:start w:val="1"/>
      <w:isLgl/>
      <w:numFmt w:val="bullet"/>
      <w:lvlText w:val=""/>
      <w:lvlJc w:val="left"/>
      <w:pPr>
        <w:tabs>
          <w:tab w:val="num" w:pos="6480"/>
        </w:tabs>
        <w:ind w:left="6480" w:hanging="360"/>
      </w:pPr>
      <w:rPr>
        <w:rFonts w:ascii="Wingdings" w:hAnsi="Wingdings" w:cs="Wingdings" w:hint="default"/>
      </w:rPr>
    </w:lvl>
  </w:abstractNum>
  <w:abstractNum w:abstractNumId="20">
    <w:lvl w:ilvl="0">
      <w:start w:val="1"/>
      <w:isLgl/>
      <w:numFmt w:val="bullet"/>
      <w:lvlText w:val=""/>
      <w:lvlJc w:val="left"/>
      <w:pPr>
        <w:tabs>
          <w:tab w:val="num" w:pos="720"/>
        </w:tabs>
        <w:ind w:left="720" w:hanging="360"/>
      </w:pPr>
      <w:rPr>
        <w:rFonts w:ascii="Symbol" w:hAnsi="Symbol" w:cs="Symbol" w:hint="default"/>
      </w:rPr>
    </w:lvl>
    <w:lvl w:ilvl="1">
      <w:start w:val="1"/>
      <w:isLgl/>
      <w:numFmt w:val="bullet"/>
      <w:lvlText w:val="o"/>
      <w:lvlJc w:val="left"/>
      <w:pPr>
        <w:tabs>
          <w:tab w:val="num" w:pos="1440"/>
        </w:tabs>
        <w:ind w:left="1440" w:hanging="360"/>
      </w:pPr>
      <w:rPr>
        <w:rFonts w:ascii="Courier New" w:hAnsi="Courier New" w:cs="Courier New" w:hint="default"/>
      </w:rPr>
    </w:lvl>
    <w:lvl w:ilvl="2">
      <w:start w:val="1"/>
      <w:isLgl/>
      <w:numFmt w:val="bullet"/>
      <w:lvlText w:val=""/>
      <w:lvlJc w:val="left"/>
      <w:pPr>
        <w:tabs>
          <w:tab w:val="num" w:pos="2160"/>
        </w:tabs>
        <w:ind w:left="2160" w:hanging="360"/>
      </w:pPr>
      <w:rPr>
        <w:rFonts w:ascii="Wingdings" w:hAnsi="Wingdings" w:cs="Wingdings" w:hint="default"/>
      </w:rPr>
    </w:lvl>
    <w:lvl w:ilvl="3">
      <w:start w:val="1"/>
      <w:isLgl/>
      <w:numFmt w:val="bullet"/>
      <w:lvlText w:val=""/>
      <w:lvlJc w:val="left"/>
      <w:pPr>
        <w:tabs>
          <w:tab w:val="num" w:pos="2880"/>
        </w:tabs>
        <w:ind w:left="2880" w:hanging="360"/>
      </w:pPr>
      <w:rPr>
        <w:rFonts w:ascii="Symbol" w:hAnsi="Symbol" w:cs="Symbol" w:hint="default"/>
      </w:rPr>
    </w:lvl>
    <w:lvl w:ilvl="4">
      <w:start w:val="1"/>
      <w:isLgl/>
      <w:numFmt w:val="bullet"/>
      <w:lvlText w:val="o"/>
      <w:lvlJc w:val="left"/>
      <w:pPr>
        <w:tabs>
          <w:tab w:val="num" w:pos="3600"/>
        </w:tabs>
        <w:ind w:left="3600" w:hanging="360"/>
      </w:pPr>
      <w:rPr>
        <w:rFonts w:ascii="Courier New" w:hAnsi="Courier New" w:cs="Courier New" w:hint="default"/>
      </w:rPr>
    </w:lvl>
    <w:lvl w:ilvl="5">
      <w:start w:val="1"/>
      <w:isLgl/>
      <w:numFmt w:val="bullet"/>
      <w:lvlText w:val=""/>
      <w:lvlJc w:val="left"/>
      <w:pPr>
        <w:tabs>
          <w:tab w:val="num" w:pos="4320"/>
        </w:tabs>
        <w:ind w:left="4320" w:hanging="360"/>
      </w:pPr>
      <w:rPr>
        <w:rFonts w:ascii="Wingdings" w:hAnsi="Wingdings" w:cs="Wingdings" w:hint="default"/>
      </w:rPr>
    </w:lvl>
    <w:lvl w:ilvl="6">
      <w:start w:val="1"/>
      <w:isLgl/>
      <w:numFmt w:val="bullet"/>
      <w:lvlText w:val=""/>
      <w:lvlJc w:val="left"/>
      <w:pPr>
        <w:tabs>
          <w:tab w:val="num" w:pos="5040"/>
        </w:tabs>
        <w:ind w:left="5040" w:hanging="360"/>
      </w:pPr>
      <w:rPr>
        <w:rFonts w:ascii="Symbol" w:hAnsi="Symbol" w:cs="Symbol" w:hint="default"/>
      </w:rPr>
    </w:lvl>
    <w:lvl w:ilvl="7">
      <w:start w:val="1"/>
      <w:isLgl/>
      <w:numFmt w:val="bullet"/>
      <w:lvlText w:val="o"/>
      <w:lvlJc w:val="left"/>
      <w:pPr>
        <w:tabs>
          <w:tab w:val="num" w:pos="5760"/>
        </w:tabs>
        <w:ind w:left="5760" w:hanging="360"/>
      </w:pPr>
      <w:rPr>
        <w:rFonts w:ascii="Courier New" w:hAnsi="Courier New" w:cs="Courier New" w:hint="default"/>
      </w:rPr>
    </w:lvl>
    <w:lvl w:ilvl="8">
      <w:start w:val="1"/>
      <w:isLgl/>
      <w:numFmt w:val="bullet"/>
      <w:lvlText w:val=""/>
      <w:lvlJc w:val="left"/>
      <w:pPr>
        <w:tabs>
          <w:tab w:val="num" w:pos="6480"/>
        </w:tabs>
        <w:ind w:left="6480" w:hanging="360"/>
      </w:pPr>
      <w:rPr>
        <w:rFonts w:ascii="Wingdings" w:hAnsi="Wingdings" w:cs="Wingdings" w:hint="default"/>
      </w:rPr>
    </w:lvl>
  </w:abstractNum>
  <w:abstractNum w:abstractNumId="21">
    <w:lvl w:ilvl="0">
      <w:start w:val="4"/>
      <w:isLgl/>
      <w:numFmt w:val="bullet"/>
      <w:lvlText w:val="-"/>
      <w:lvlJc w:val="left"/>
      <w:pPr>
        <w:tabs>
          <w:tab w:val="num" w:pos="0"/>
        </w:tabs>
        <w:ind w:left="1069" w:hanging="360"/>
      </w:pPr>
      <w:rPr>
        <w:rFonts w:ascii="Times New Roman" w:hAnsi="Times New Roman" w:cs="Times New Roman" w:hint="default"/>
      </w:rPr>
    </w:lvl>
    <w:lvl w:ilvl="1">
      <w:start w:val="1"/>
      <w:isLgl/>
      <w:numFmt w:val="bullet"/>
      <w:lvlText w:val="o"/>
      <w:lvlJc w:val="left"/>
      <w:pPr>
        <w:tabs>
          <w:tab w:val="num" w:pos="0"/>
        </w:tabs>
        <w:ind w:left="1789" w:hanging="360"/>
      </w:pPr>
      <w:rPr>
        <w:rFonts w:ascii="Courier New" w:hAnsi="Courier New" w:cs="Courier New" w:hint="default"/>
      </w:rPr>
    </w:lvl>
    <w:lvl w:ilvl="2">
      <w:start w:val="1"/>
      <w:isLgl/>
      <w:numFmt w:val="bullet"/>
      <w:lvlText w:val=""/>
      <w:lvlJc w:val="left"/>
      <w:pPr>
        <w:tabs>
          <w:tab w:val="num" w:pos="0"/>
        </w:tabs>
        <w:ind w:left="2509" w:hanging="360"/>
      </w:pPr>
      <w:rPr>
        <w:rFonts w:ascii="Wingdings" w:hAnsi="Wingdings" w:cs="Wingdings" w:hint="default"/>
      </w:rPr>
    </w:lvl>
    <w:lvl w:ilvl="3">
      <w:start w:val="1"/>
      <w:isLgl/>
      <w:numFmt w:val="bullet"/>
      <w:lvlText w:val=""/>
      <w:lvlJc w:val="left"/>
      <w:pPr>
        <w:tabs>
          <w:tab w:val="num" w:pos="0"/>
        </w:tabs>
        <w:ind w:left="3229" w:hanging="360"/>
      </w:pPr>
      <w:rPr>
        <w:rFonts w:ascii="Symbol" w:hAnsi="Symbol" w:cs="Symbol" w:hint="default"/>
      </w:rPr>
    </w:lvl>
    <w:lvl w:ilvl="4">
      <w:start w:val="1"/>
      <w:isLgl/>
      <w:numFmt w:val="bullet"/>
      <w:lvlText w:val="o"/>
      <w:lvlJc w:val="left"/>
      <w:pPr>
        <w:tabs>
          <w:tab w:val="num" w:pos="0"/>
        </w:tabs>
        <w:ind w:left="3949" w:hanging="360"/>
      </w:pPr>
      <w:rPr>
        <w:rFonts w:ascii="Courier New" w:hAnsi="Courier New" w:cs="Courier New" w:hint="default"/>
      </w:rPr>
    </w:lvl>
    <w:lvl w:ilvl="5">
      <w:start w:val="1"/>
      <w:isLgl/>
      <w:numFmt w:val="bullet"/>
      <w:lvlText w:val=""/>
      <w:lvlJc w:val="left"/>
      <w:pPr>
        <w:tabs>
          <w:tab w:val="num" w:pos="0"/>
        </w:tabs>
        <w:ind w:left="4669" w:hanging="360"/>
      </w:pPr>
      <w:rPr>
        <w:rFonts w:ascii="Wingdings" w:hAnsi="Wingdings" w:cs="Wingdings" w:hint="default"/>
      </w:rPr>
    </w:lvl>
    <w:lvl w:ilvl="6">
      <w:start w:val="1"/>
      <w:isLgl/>
      <w:numFmt w:val="bullet"/>
      <w:lvlText w:val=""/>
      <w:lvlJc w:val="left"/>
      <w:pPr>
        <w:tabs>
          <w:tab w:val="num" w:pos="0"/>
        </w:tabs>
        <w:ind w:left="5389" w:hanging="360"/>
      </w:pPr>
      <w:rPr>
        <w:rFonts w:ascii="Symbol" w:hAnsi="Symbol" w:cs="Symbol" w:hint="default"/>
      </w:rPr>
    </w:lvl>
    <w:lvl w:ilvl="7">
      <w:start w:val="1"/>
      <w:isLgl/>
      <w:numFmt w:val="bullet"/>
      <w:lvlText w:val="o"/>
      <w:lvlJc w:val="left"/>
      <w:pPr>
        <w:tabs>
          <w:tab w:val="num" w:pos="0"/>
        </w:tabs>
        <w:ind w:left="6109" w:hanging="360"/>
      </w:pPr>
      <w:rPr>
        <w:rFonts w:ascii="Courier New" w:hAnsi="Courier New" w:cs="Courier New" w:hint="default"/>
      </w:rPr>
    </w:lvl>
    <w:lvl w:ilvl="8">
      <w:start w:val="1"/>
      <w:isLgl/>
      <w:numFmt w:val="bullet"/>
      <w:lvlText w:val=""/>
      <w:lvlJc w:val="left"/>
      <w:pPr>
        <w:tabs>
          <w:tab w:val="num" w:pos="0"/>
        </w:tabs>
        <w:ind w:left="6829" w:hanging="360"/>
      </w:pPr>
      <w:rPr>
        <w:rFonts w:ascii="Wingdings" w:hAnsi="Wingdings" w:cs="Wingdings" w:hint="default"/>
      </w:rPr>
    </w:lvl>
  </w:abstractNum>
  <w:abstractNum w:abstractNumId="22">
    <w:lvl w:ilvl="0">
      <w:start w:val="4"/>
      <w:isLgl/>
      <w:numFmt w:val="bullet"/>
      <w:lvlText w:val="-"/>
      <w:lvlJc w:val="left"/>
      <w:pPr>
        <w:tabs>
          <w:tab w:val="num" w:pos="0"/>
        </w:tabs>
        <w:ind w:left="720" w:hanging="360"/>
      </w:pPr>
      <w:rPr>
        <w:rFonts w:ascii="Times New Roman" w:hAnsi="Times New Roman" w:cs="Times New Roman"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23">
    <w:lvl w:ilvl="0">
      <w:start w:val="1"/>
      <w:isLgl/>
      <w:numFmt w:val="bullet"/>
      <w:lvlText w:val=""/>
      <w:lvlJc w:val="left"/>
      <w:pPr>
        <w:tabs>
          <w:tab w:val="num" w:pos="0"/>
        </w:tabs>
        <w:ind w:left="1429" w:hanging="360"/>
      </w:pPr>
      <w:rPr>
        <w:rFonts w:ascii="Symbol" w:hAnsi="Symbol" w:cs="Symbol" w:hint="default"/>
        <w:color w:val="000000"/>
      </w:rPr>
    </w:lvl>
    <w:lvl w:ilvl="1">
      <w:start w:val="4"/>
      <w:isLgl/>
      <w:numFmt w:val="bullet"/>
      <w:lvlText w:val="-"/>
      <w:lvlJc w:val="left"/>
      <w:pPr>
        <w:tabs>
          <w:tab w:val="num" w:pos="0"/>
        </w:tabs>
        <w:ind w:left="2734" w:hanging="945"/>
      </w:pPr>
      <w:rPr>
        <w:rFonts w:ascii="Times New Roman" w:hAnsi="Times New Roman" w:cs="Times New Roman" w:hint="default"/>
        <w:color w:val="000000"/>
      </w:rPr>
    </w:lvl>
    <w:lvl w:ilvl="2">
      <w:start w:val="1"/>
      <w:isLgl/>
      <w:numFmt w:val="bullet"/>
      <w:lvlText w:val=""/>
      <w:lvlJc w:val="left"/>
      <w:pPr>
        <w:tabs>
          <w:tab w:val="num" w:pos="0"/>
        </w:tabs>
        <w:ind w:left="2869" w:hanging="360"/>
      </w:pPr>
      <w:rPr>
        <w:rFonts w:ascii="Wingdings" w:hAnsi="Wingdings" w:cs="Wingdings" w:hint="default"/>
      </w:rPr>
    </w:lvl>
    <w:lvl w:ilvl="3">
      <w:start w:val="1"/>
      <w:isLgl/>
      <w:numFmt w:val="bullet"/>
      <w:lvlText w:val=""/>
      <w:lvlJc w:val="left"/>
      <w:pPr>
        <w:tabs>
          <w:tab w:val="num" w:pos="0"/>
        </w:tabs>
        <w:ind w:left="3589" w:hanging="360"/>
      </w:pPr>
      <w:rPr>
        <w:rFonts w:ascii="Symbol" w:hAnsi="Symbol" w:cs="Symbol" w:hint="default"/>
      </w:rPr>
    </w:lvl>
    <w:lvl w:ilvl="4">
      <w:start w:val="1"/>
      <w:isLgl/>
      <w:numFmt w:val="bullet"/>
      <w:lvlText w:val="o"/>
      <w:lvlJc w:val="left"/>
      <w:pPr>
        <w:tabs>
          <w:tab w:val="num" w:pos="0"/>
        </w:tabs>
        <w:ind w:left="4309" w:hanging="360"/>
      </w:pPr>
      <w:rPr>
        <w:rFonts w:ascii="Courier New" w:hAnsi="Courier New" w:cs="Courier New" w:hint="default"/>
      </w:rPr>
    </w:lvl>
    <w:lvl w:ilvl="5">
      <w:start w:val="1"/>
      <w:isLgl/>
      <w:numFmt w:val="bullet"/>
      <w:lvlText w:val=""/>
      <w:lvlJc w:val="left"/>
      <w:pPr>
        <w:tabs>
          <w:tab w:val="num" w:pos="0"/>
        </w:tabs>
        <w:ind w:left="5029" w:hanging="360"/>
      </w:pPr>
      <w:rPr>
        <w:rFonts w:ascii="Wingdings" w:hAnsi="Wingdings" w:cs="Wingdings" w:hint="default"/>
      </w:rPr>
    </w:lvl>
    <w:lvl w:ilvl="6">
      <w:start w:val="1"/>
      <w:isLgl/>
      <w:numFmt w:val="bullet"/>
      <w:lvlText w:val=""/>
      <w:lvlJc w:val="left"/>
      <w:pPr>
        <w:tabs>
          <w:tab w:val="num" w:pos="0"/>
        </w:tabs>
        <w:ind w:left="5749" w:hanging="360"/>
      </w:pPr>
      <w:rPr>
        <w:rFonts w:ascii="Symbol" w:hAnsi="Symbol" w:cs="Symbol" w:hint="default"/>
      </w:rPr>
    </w:lvl>
    <w:lvl w:ilvl="7">
      <w:start w:val="1"/>
      <w:isLgl/>
      <w:numFmt w:val="bullet"/>
      <w:lvlText w:val="o"/>
      <w:lvlJc w:val="left"/>
      <w:pPr>
        <w:tabs>
          <w:tab w:val="num" w:pos="0"/>
        </w:tabs>
        <w:ind w:left="6469" w:hanging="360"/>
      </w:pPr>
      <w:rPr>
        <w:rFonts w:ascii="Courier New" w:hAnsi="Courier New" w:cs="Courier New" w:hint="default"/>
      </w:rPr>
    </w:lvl>
    <w:lvl w:ilvl="8">
      <w:start w:val="1"/>
      <w:isLgl/>
      <w:numFmt w:val="bullet"/>
      <w:lvlText w:val=""/>
      <w:lvlJc w:val="left"/>
      <w:pPr>
        <w:tabs>
          <w:tab w:val="num" w:pos="0"/>
        </w:tabs>
        <w:ind w:left="7189" w:hanging="360"/>
      </w:pPr>
      <w:rPr>
        <w:rFonts w:ascii="Wingdings" w:hAnsi="Wingdings" w:cs="Wingdings" w:hint="default"/>
      </w:rPr>
    </w:lvl>
  </w:abstractNum>
  <w:abstractNum w:abstractNumId="24">
    <w:lvl w:ilvl="0">
      <w:start w:val="1"/>
      <w:isLgl/>
      <w:numFmt w:val="bullet"/>
      <w:lvlText w:val=""/>
      <w:lvlJc w:val="left"/>
      <w:pPr>
        <w:tabs>
          <w:tab w:val="num" w:pos="0"/>
        </w:tabs>
        <w:ind w:left="1429" w:hanging="360"/>
      </w:pPr>
      <w:rPr>
        <w:rFonts w:ascii="Symbol" w:hAnsi="Symbol" w:cs="Symbol" w:hint="default"/>
        <w:color w:val="000000"/>
      </w:rPr>
    </w:lvl>
    <w:lvl w:ilvl="1">
      <w:start w:val="4"/>
      <w:isLgl/>
      <w:numFmt w:val="bullet"/>
      <w:lvlText w:val="-"/>
      <w:lvlJc w:val="left"/>
      <w:pPr>
        <w:tabs>
          <w:tab w:val="num" w:pos="0"/>
        </w:tabs>
        <w:ind w:left="2734" w:hanging="945"/>
      </w:pPr>
      <w:rPr>
        <w:rFonts w:ascii="Times New Roman" w:hAnsi="Times New Roman" w:cs="Times New Roman" w:hint="default"/>
        <w:color w:val="000000"/>
      </w:rPr>
    </w:lvl>
    <w:lvl w:ilvl="2">
      <w:start w:val="1"/>
      <w:isLgl/>
      <w:numFmt w:val="bullet"/>
      <w:lvlText w:val=""/>
      <w:lvlJc w:val="left"/>
      <w:pPr>
        <w:tabs>
          <w:tab w:val="num" w:pos="0"/>
        </w:tabs>
        <w:ind w:left="2869" w:hanging="360"/>
      </w:pPr>
      <w:rPr>
        <w:rFonts w:ascii="Wingdings" w:hAnsi="Wingdings" w:cs="Wingdings" w:hint="default"/>
      </w:rPr>
    </w:lvl>
    <w:lvl w:ilvl="3">
      <w:start w:val="1"/>
      <w:isLgl/>
      <w:numFmt w:val="bullet"/>
      <w:lvlText w:val=""/>
      <w:lvlJc w:val="left"/>
      <w:pPr>
        <w:tabs>
          <w:tab w:val="num" w:pos="0"/>
        </w:tabs>
        <w:ind w:left="3589" w:hanging="360"/>
      </w:pPr>
      <w:rPr>
        <w:rFonts w:ascii="Symbol" w:hAnsi="Symbol" w:cs="Symbol" w:hint="default"/>
      </w:rPr>
    </w:lvl>
    <w:lvl w:ilvl="4">
      <w:start w:val="1"/>
      <w:isLgl/>
      <w:numFmt w:val="bullet"/>
      <w:lvlText w:val="o"/>
      <w:lvlJc w:val="left"/>
      <w:pPr>
        <w:tabs>
          <w:tab w:val="num" w:pos="0"/>
        </w:tabs>
        <w:ind w:left="4309" w:hanging="360"/>
      </w:pPr>
      <w:rPr>
        <w:rFonts w:ascii="Courier New" w:hAnsi="Courier New" w:cs="Courier New" w:hint="default"/>
      </w:rPr>
    </w:lvl>
    <w:lvl w:ilvl="5">
      <w:start w:val="1"/>
      <w:isLgl/>
      <w:numFmt w:val="bullet"/>
      <w:lvlText w:val=""/>
      <w:lvlJc w:val="left"/>
      <w:pPr>
        <w:tabs>
          <w:tab w:val="num" w:pos="0"/>
        </w:tabs>
        <w:ind w:left="5029" w:hanging="360"/>
      </w:pPr>
      <w:rPr>
        <w:rFonts w:ascii="Wingdings" w:hAnsi="Wingdings" w:cs="Wingdings" w:hint="default"/>
      </w:rPr>
    </w:lvl>
    <w:lvl w:ilvl="6">
      <w:start w:val="1"/>
      <w:isLgl/>
      <w:numFmt w:val="bullet"/>
      <w:lvlText w:val=""/>
      <w:lvlJc w:val="left"/>
      <w:pPr>
        <w:tabs>
          <w:tab w:val="num" w:pos="0"/>
        </w:tabs>
        <w:ind w:left="5749" w:hanging="360"/>
      </w:pPr>
      <w:rPr>
        <w:rFonts w:ascii="Symbol" w:hAnsi="Symbol" w:cs="Symbol" w:hint="default"/>
      </w:rPr>
    </w:lvl>
    <w:lvl w:ilvl="7">
      <w:start w:val="1"/>
      <w:isLgl/>
      <w:numFmt w:val="bullet"/>
      <w:lvlText w:val="o"/>
      <w:lvlJc w:val="left"/>
      <w:pPr>
        <w:tabs>
          <w:tab w:val="num" w:pos="0"/>
        </w:tabs>
        <w:ind w:left="6469" w:hanging="360"/>
      </w:pPr>
      <w:rPr>
        <w:rFonts w:ascii="Courier New" w:hAnsi="Courier New" w:cs="Courier New" w:hint="default"/>
      </w:rPr>
    </w:lvl>
    <w:lvl w:ilvl="8">
      <w:start w:val="1"/>
      <w:isLgl/>
      <w:numFmt w:val="bullet"/>
      <w:lvlText w:val=""/>
      <w:lvlJc w:val="left"/>
      <w:pPr>
        <w:tabs>
          <w:tab w:val="num" w:pos="0"/>
        </w:tabs>
        <w:ind w:left="7189" w:hanging="360"/>
      </w:pPr>
      <w:rPr>
        <w:rFonts w:ascii="Wingdings" w:hAnsi="Wingdings" w:cs="Wingdings" w:hint="default"/>
      </w:rPr>
    </w:lvl>
  </w:abstractNum>
  <w:abstractNum w:abstractNumId="25">
    <w:lvl w:ilvl="0">
      <w:start w:val="4"/>
      <w:isLgl/>
      <w:numFmt w:val="bullet"/>
      <w:lvlText w:val="-"/>
      <w:lvlJc w:val="left"/>
      <w:pPr>
        <w:tabs>
          <w:tab w:val="num" w:pos="720"/>
        </w:tabs>
        <w:ind w:left="720" w:hanging="360"/>
      </w:pPr>
      <w:rPr>
        <w:rFonts w:ascii="Times New Roman" w:hAnsi="Times New Roman" w:cs="Times New Roman" w:hint="default"/>
      </w:rPr>
    </w:lvl>
    <w:lvl w:ilvl="1">
      <w:start w:val="1"/>
      <w:isLgl/>
      <w:numFmt w:val="bullet"/>
      <w:lvlText w:val="o"/>
      <w:lvlJc w:val="left"/>
      <w:pPr>
        <w:tabs>
          <w:tab w:val="num" w:pos="1440"/>
        </w:tabs>
        <w:ind w:left="1440" w:hanging="360"/>
      </w:pPr>
      <w:rPr>
        <w:rFonts w:ascii="Courier New" w:hAnsi="Courier New" w:cs="Courier New" w:hint="default"/>
      </w:rPr>
    </w:lvl>
    <w:lvl w:ilvl="2">
      <w:start w:val="1"/>
      <w:isLgl/>
      <w:numFmt w:val="bullet"/>
      <w:lvlText w:val=""/>
      <w:lvlJc w:val="left"/>
      <w:pPr>
        <w:tabs>
          <w:tab w:val="num" w:pos="2160"/>
        </w:tabs>
        <w:ind w:left="2160" w:hanging="360"/>
      </w:pPr>
      <w:rPr>
        <w:rFonts w:ascii="Wingdings" w:hAnsi="Wingdings" w:cs="Wingdings" w:hint="default"/>
      </w:rPr>
    </w:lvl>
    <w:lvl w:ilvl="3">
      <w:start w:val="1"/>
      <w:isLgl/>
      <w:numFmt w:val="bullet"/>
      <w:lvlText w:val=""/>
      <w:lvlJc w:val="left"/>
      <w:pPr>
        <w:tabs>
          <w:tab w:val="num" w:pos="2880"/>
        </w:tabs>
        <w:ind w:left="2880" w:hanging="360"/>
      </w:pPr>
      <w:rPr>
        <w:rFonts w:ascii="Symbol" w:hAnsi="Symbol" w:cs="Symbol" w:hint="default"/>
      </w:rPr>
    </w:lvl>
    <w:lvl w:ilvl="4">
      <w:start w:val="1"/>
      <w:isLgl/>
      <w:numFmt w:val="bullet"/>
      <w:lvlText w:val="o"/>
      <w:lvlJc w:val="left"/>
      <w:pPr>
        <w:tabs>
          <w:tab w:val="num" w:pos="3600"/>
        </w:tabs>
        <w:ind w:left="3600" w:hanging="360"/>
      </w:pPr>
      <w:rPr>
        <w:rFonts w:ascii="Courier New" w:hAnsi="Courier New" w:cs="Courier New" w:hint="default"/>
      </w:rPr>
    </w:lvl>
    <w:lvl w:ilvl="5">
      <w:start w:val="1"/>
      <w:isLgl/>
      <w:numFmt w:val="bullet"/>
      <w:lvlText w:val=""/>
      <w:lvlJc w:val="left"/>
      <w:pPr>
        <w:tabs>
          <w:tab w:val="num" w:pos="4320"/>
        </w:tabs>
        <w:ind w:left="4320" w:hanging="360"/>
      </w:pPr>
      <w:rPr>
        <w:rFonts w:ascii="Wingdings" w:hAnsi="Wingdings" w:cs="Wingdings" w:hint="default"/>
      </w:rPr>
    </w:lvl>
    <w:lvl w:ilvl="6">
      <w:start w:val="1"/>
      <w:isLgl/>
      <w:numFmt w:val="bullet"/>
      <w:lvlText w:val=""/>
      <w:lvlJc w:val="left"/>
      <w:pPr>
        <w:tabs>
          <w:tab w:val="num" w:pos="5040"/>
        </w:tabs>
        <w:ind w:left="5040" w:hanging="360"/>
      </w:pPr>
      <w:rPr>
        <w:rFonts w:ascii="Symbol" w:hAnsi="Symbol" w:cs="Symbol" w:hint="default"/>
      </w:rPr>
    </w:lvl>
    <w:lvl w:ilvl="7">
      <w:start w:val="1"/>
      <w:isLgl/>
      <w:numFmt w:val="bullet"/>
      <w:lvlText w:val="o"/>
      <w:lvlJc w:val="left"/>
      <w:pPr>
        <w:tabs>
          <w:tab w:val="num" w:pos="5760"/>
        </w:tabs>
        <w:ind w:left="5760" w:hanging="360"/>
      </w:pPr>
      <w:rPr>
        <w:rFonts w:ascii="Courier New" w:hAnsi="Courier New" w:cs="Courier New" w:hint="default"/>
      </w:rPr>
    </w:lvl>
    <w:lvl w:ilvl="8">
      <w:start w:val="1"/>
      <w:isLgl/>
      <w:numFmt w:val="bullet"/>
      <w:lvlText w:val=""/>
      <w:lvlJc w:val="left"/>
      <w:pPr>
        <w:tabs>
          <w:tab w:val="num" w:pos="6480"/>
        </w:tabs>
        <w:ind w:left="6480" w:hanging="360"/>
      </w:pPr>
      <w:rPr>
        <w:rFonts w:ascii="Wingdings" w:hAnsi="Wingdings" w:cs="Wingdings" w:hint="default"/>
      </w:rPr>
    </w:lvl>
  </w:abstractNum>
  <w:abstractNum w:abstractNumId="26">
    <w:lvl w:ilvl="0">
      <w:start w:val="4"/>
      <w:isLgl/>
      <w:numFmt w:val="bullet"/>
      <w:lvlText w:val="-"/>
      <w:lvlJc w:val="left"/>
      <w:pPr>
        <w:tabs>
          <w:tab w:val="num" w:pos="720"/>
        </w:tabs>
        <w:ind w:left="720" w:hanging="360"/>
      </w:pPr>
      <w:rPr>
        <w:rFonts w:ascii="Times New Roman" w:hAnsi="Times New Roman" w:cs="Times New Roman" w:hint="default"/>
      </w:rPr>
    </w:lvl>
    <w:lvl w:ilvl="1">
      <w:start w:val="1"/>
      <w:isLgl/>
      <w:numFmt w:val="bullet"/>
      <w:lvlText w:val="o"/>
      <w:lvlJc w:val="left"/>
      <w:pPr>
        <w:tabs>
          <w:tab w:val="num" w:pos="1440"/>
        </w:tabs>
        <w:ind w:left="1440" w:hanging="360"/>
      </w:pPr>
      <w:rPr>
        <w:rFonts w:ascii="Courier New" w:hAnsi="Courier New" w:cs="Courier New" w:hint="default"/>
      </w:rPr>
    </w:lvl>
    <w:lvl w:ilvl="2">
      <w:start w:val="1"/>
      <w:isLgl/>
      <w:numFmt w:val="bullet"/>
      <w:lvlText w:val=""/>
      <w:lvlJc w:val="left"/>
      <w:pPr>
        <w:tabs>
          <w:tab w:val="num" w:pos="2160"/>
        </w:tabs>
        <w:ind w:left="2160" w:hanging="360"/>
      </w:pPr>
      <w:rPr>
        <w:rFonts w:ascii="Wingdings" w:hAnsi="Wingdings" w:cs="Wingdings" w:hint="default"/>
      </w:rPr>
    </w:lvl>
    <w:lvl w:ilvl="3">
      <w:start w:val="1"/>
      <w:isLgl/>
      <w:numFmt w:val="bullet"/>
      <w:lvlText w:val=""/>
      <w:lvlJc w:val="left"/>
      <w:pPr>
        <w:tabs>
          <w:tab w:val="num" w:pos="2880"/>
        </w:tabs>
        <w:ind w:left="2880" w:hanging="360"/>
      </w:pPr>
      <w:rPr>
        <w:rFonts w:ascii="Symbol" w:hAnsi="Symbol" w:cs="Symbol" w:hint="default"/>
      </w:rPr>
    </w:lvl>
    <w:lvl w:ilvl="4">
      <w:start w:val="1"/>
      <w:isLgl/>
      <w:numFmt w:val="bullet"/>
      <w:lvlText w:val="o"/>
      <w:lvlJc w:val="left"/>
      <w:pPr>
        <w:tabs>
          <w:tab w:val="num" w:pos="3600"/>
        </w:tabs>
        <w:ind w:left="3600" w:hanging="360"/>
      </w:pPr>
      <w:rPr>
        <w:rFonts w:ascii="Courier New" w:hAnsi="Courier New" w:cs="Courier New" w:hint="default"/>
      </w:rPr>
    </w:lvl>
    <w:lvl w:ilvl="5">
      <w:start w:val="1"/>
      <w:isLgl/>
      <w:numFmt w:val="bullet"/>
      <w:lvlText w:val=""/>
      <w:lvlJc w:val="left"/>
      <w:pPr>
        <w:tabs>
          <w:tab w:val="num" w:pos="4320"/>
        </w:tabs>
        <w:ind w:left="4320" w:hanging="360"/>
      </w:pPr>
      <w:rPr>
        <w:rFonts w:ascii="Wingdings" w:hAnsi="Wingdings" w:cs="Wingdings" w:hint="default"/>
      </w:rPr>
    </w:lvl>
    <w:lvl w:ilvl="6">
      <w:start w:val="1"/>
      <w:isLgl/>
      <w:numFmt w:val="bullet"/>
      <w:lvlText w:val=""/>
      <w:lvlJc w:val="left"/>
      <w:pPr>
        <w:tabs>
          <w:tab w:val="num" w:pos="5040"/>
        </w:tabs>
        <w:ind w:left="5040" w:hanging="360"/>
      </w:pPr>
      <w:rPr>
        <w:rFonts w:ascii="Symbol" w:hAnsi="Symbol" w:cs="Symbol" w:hint="default"/>
      </w:rPr>
    </w:lvl>
    <w:lvl w:ilvl="7">
      <w:start w:val="1"/>
      <w:isLgl/>
      <w:numFmt w:val="bullet"/>
      <w:lvlText w:val="o"/>
      <w:lvlJc w:val="left"/>
      <w:pPr>
        <w:tabs>
          <w:tab w:val="num" w:pos="5760"/>
        </w:tabs>
        <w:ind w:left="5760" w:hanging="360"/>
      </w:pPr>
      <w:rPr>
        <w:rFonts w:ascii="Courier New" w:hAnsi="Courier New" w:cs="Courier New" w:hint="default"/>
      </w:rPr>
    </w:lvl>
    <w:lvl w:ilvl="8">
      <w:start w:val="1"/>
      <w:isLgl/>
      <w:numFmt w:val="bullet"/>
      <w:lvlText w:val=""/>
      <w:lvlJc w:val="left"/>
      <w:pPr>
        <w:tabs>
          <w:tab w:val="num" w:pos="6480"/>
        </w:tabs>
        <w:ind w:left="6480" w:hanging="360"/>
      </w:pPr>
      <w:rPr>
        <w:rFonts w:ascii="Wingdings" w:hAnsi="Wingdings" w:cs="Wingdings" w:hint="default"/>
      </w:rPr>
    </w:lvl>
  </w:abstractNum>
  <w:abstractNum w:abstractNumId="27">
    <w:lvl w:ilvl="0">
      <w:start w:val="1"/>
      <w:isLgl/>
      <w:numFmt w:val="bullet"/>
      <w:lvlText w:val="-"/>
      <w:lvlJc w:val="left"/>
      <w:pPr>
        <w:tabs>
          <w:tab w:val="num" w:pos="0"/>
        </w:tabs>
        <w:ind w:left="720" w:hanging="360"/>
      </w:pPr>
      <w:rPr>
        <w:rFonts w:ascii="Times New Roman" w:hAnsi="Times New Roman" w:cs="Times New Roman"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28">
    <w:lvl w:ilvl="0">
      <w:start w:val="1"/>
      <w:isLgl/>
      <w:numFmt w:val="bullet"/>
      <w:lvlText w:val=""/>
      <w:lvlJc w:val="left"/>
      <w:pPr>
        <w:tabs>
          <w:tab w:val="num" w:pos="0"/>
        </w:tabs>
        <w:ind w:left="1429" w:hanging="360"/>
      </w:pPr>
      <w:rPr>
        <w:rFonts w:ascii="Symbol" w:hAnsi="Symbol" w:cs="Symbol" w:hint="default"/>
      </w:rPr>
    </w:lvl>
    <w:lvl w:ilvl="1">
      <w:start w:val="1"/>
      <w:isLgl/>
      <w:numFmt w:val="bullet"/>
      <w:lvlText w:val="o"/>
      <w:lvlJc w:val="left"/>
      <w:pPr>
        <w:tabs>
          <w:tab w:val="num" w:pos="0"/>
        </w:tabs>
        <w:ind w:left="2149" w:hanging="360"/>
      </w:pPr>
      <w:rPr>
        <w:rFonts w:ascii="Courier New" w:hAnsi="Courier New" w:cs="Courier New" w:hint="default"/>
      </w:rPr>
    </w:lvl>
    <w:lvl w:ilvl="2">
      <w:start w:val="1"/>
      <w:isLgl/>
      <w:numFmt w:val="bullet"/>
      <w:lvlText w:val=""/>
      <w:lvlJc w:val="left"/>
      <w:pPr>
        <w:tabs>
          <w:tab w:val="num" w:pos="0"/>
        </w:tabs>
        <w:ind w:left="2869" w:hanging="360"/>
      </w:pPr>
      <w:rPr>
        <w:rFonts w:ascii="Wingdings" w:hAnsi="Wingdings" w:cs="Wingdings" w:hint="default"/>
      </w:rPr>
    </w:lvl>
    <w:lvl w:ilvl="3">
      <w:start w:val="1"/>
      <w:isLgl/>
      <w:numFmt w:val="bullet"/>
      <w:lvlText w:val=""/>
      <w:lvlJc w:val="left"/>
      <w:pPr>
        <w:tabs>
          <w:tab w:val="num" w:pos="0"/>
        </w:tabs>
        <w:ind w:left="3589" w:hanging="360"/>
      </w:pPr>
      <w:rPr>
        <w:rFonts w:ascii="Symbol" w:hAnsi="Symbol" w:cs="Symbol" w:hint="default"/>
      </w:rPr>
    </w:lvl>
    <w:lvl w:ilvl="4">
      <w:start w:val="1"/>
      <w:isLgl/>
      <w:numFmt w:val="bullet"/>
      <w:lvlText w:val="o"/>
      <w:lvlJc w:val="left"/>
      <w:pPr>
        <w:tabs>
          <w:tab w:val="num" w:pos="0"/>
        </w:tabs>
        <w:ind w:left="4309" w:hanging="360"/>
      </w:pPr>
      <w:rPr>
        <w:rFonts w:ascii="Courier New" w:hAnsi="Courier New" w:cs="Courier New" w:hint="default"/>
      </w:rPr>
    </w:lvl>
    <w:lvl w:ilvl="5">
      <w:start w:val="1"/>
      <w:isLgl/>
      <w:numFmt w:val="bullet"/>
      <w:lvlText w:val=""/>
      <w:lvlJc w:val="left"/>
      <w:pPr>
        <w:tabs>
          <w:tab w:val="num" w:pos="0"/>
        </w:tabs>
        <w:ind w:left="5029" w:hanging="360"/>
      </w:pPr>
      <w:rPr>
        <w:rFonts w:ascii="Wingdings" w:hAnsi="Wingdings" w:cs="Wingdings" w:hint="default"/>
      </w:rPr>
    </w:lvl>
    <w:lvl w:ilvl="6">
      <w:start w:val="1"/>
      <w:isLgl/>
      <w:numFmt w:val="bullet"/>
      <w:lvlText w:val=""/>
      <w:lvlJc w:val="left"/>
      <w:pPr>
        <w:tabs>
          <w:tab w:val="num" w:pos="0"/>
        </w:tabs>
        <w:ind w:left="5749" w:hanging="360"/>
      </w:pPr>
      <w:rPr>
        <w:rFonts w:ascii="Symbol" w:hAnsi="Symbol" w:cs="Symbol" w:hint="default"/>
      </w:rPr>
    </w:lvl>
    <w:lvl w:ilvl="7">
      <w:start w:val="1"/>
      <w:isLgl/>
      <w:numFmt w:val="bullet"/>
      <w:lvlText w:val="o"/>
      <w:lvlJc w:val="left"/>
      <w:pPr>
        <w:tabs>
          <w:tab w:val="num" w:pos="0"/>
        </w:tabs>
        <w:ind w:left="6469" w:hanging="360"/>
      </w:pPr>
      <w:rPr>
        <w:rFonts w:ascii="Courier New" w:hAnsi="Courier New" w:cs="Courier New" w:hint="default"/>
      </w:rPr>
    </w:lvl>
    <w:lvl w:ilvl="8">
      <w:start w:val="1"/>
      <w:isLgl/>
      <w:numFmt w:val="bullet"/>
      <w:lvlText w:val=""/>
      <w:lvlJc w:val="left"/>
      <w:pPr>
        <w:tabs>
          <w:tab w:val="num" w:pos="0"/>
        </w:tabs>
        <w:ind w:left="7189" w:hanging="360"/>
      </w:pPr>
      <w:rPr>
        <w:rFonts w:ascii="Wingdings" w:hAnsi="Wingdings" w:cs="Wingdings" w:hint="default"/>
      </w:rPr>
    </w:lvl>
  </w:abstractNum>
  <w:abstractNum w:abstractNumId="2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100"/>
  <w:defaultTabStop w:val="709"/>
  <w:autoHyphenation w:val="true"/>
  <w:hyphenationZone w:val="0"/>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Noto Sans"/>
        <w:lang w:val="ru-RU" w:eastAsia="zh-CN"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ahoma" w:cs="Noto Sans"/>
      <w:color w:val="auto"/>
      <w:kern w:val="0"/>
      <w:sz w:val="24"/>
      <w:szCs w:val="24"/>
      <w:lang w:val="ru-RU" w:eastAsia="ru-RU" w:bidi="ar-SA"/>
    </w:rPr>
  </w:style>
  <w:style w:type="paragraph" w:styleId="Heading1">
    <w:name w:val="heading 1"/>
    <w:basedOn w:val="Normal"/>
    <w:next w:val="Normal"/>
    <w:link w:val="1"/>
    <w:qFormat/>
    <w:pPr>
      <w:keepNext w:val="true"/>
      <w:spacing w:before="240" w:after="120"/>
      <w:jc w:val="both"/>
      <w:outlineLvl w:val="0"/>
    </w:pPr>
    <w:rPr>
      <w:b/>
      <w:bCs/>
      <w:sz w:val="28"/>
      <w:szCs w:val="28"/>
      <w:lang w:val="en-US" w:eastAsia="en-US"/>
    </w:rPr>
  </w:style>
  <w:style w:type="paragraph" w:styleId="Heading2">
    <w:name w:val="heading 2"/>
    <w:basedOn w:val="Normal"/>
    <w:next w:val="Normal"/>
    <w:link w:val="Heading2Char"/>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next w:val="Normal"/>
    <w:link w:val="33"/>
    <w:uiPriority w:val="9"/>
    <w:qFormat/>
    <w:pPr>
      <w:keepNext w:val="true"/>
      <w:spacing w:before="240" w:after="60"/>
      <w:outlineLvl w:val="2"/>
    </w:pPr>
    <w:rPr>
      <w:rFonts w:ascii="Cambria" w:hAnsi="Cambria" w:eastAsia="Calibri" w:cs="Cambria"/>
      <w:b/>
      <w:bCs/>
      <w:sz w:val="26"/>
      <w:szCs w:val="26"/>
    </w:rPr>
  </w:style>
  <w:style w:type="paragraph" w:styleId="Heading4">
    <w:name w:val="heading 4"/>
    <w:basedOn w:val="Normal"/>
    <w:next w:val="Normal"/>
    <w:link w:val="4"/>
    <w:uiPriority w:val="99"/>
    <w:qFormat/>
    <w:pPr>
      <w:keepNext w:val="true"/>
      <w:spacing w:before="240" w:after="60"/>
      <w:outlineLvl w:val="3"/>
    </w:pPr>
    <w:rPr>
      <w:rFonts w:ascii="Calibri" w:hAnsi="Calibri"/>
      <w:b/>
      <w:bCs/>
      <w:sz w:val="28"/>
      <w:szCs w:val="28"/>
    </w:rPr>
  </w:style>
  <w:style w:type="paragraph" w:styleId="Heading5">
    <w:name w:val="heading 5"/>
    <w:basedOn w:val="Normal"/>
    <w:next w:val="Normal"/>
    <w:link w:val="5"/>
    <w:uiPriority w:val="9"/>
    <w:unhideWhenUsed/>
    <w:qFormat/>
    <w:pPr>
      <w:keepNext w:val="true"/>
      <w:keepLines/>
      <w:widowControl w:val="false"/>
      <w:spacing w:before="200" w:after="0"/>
      <w:ind w:hanging="1008" w:left="1008"/>
      <w:jc w:val="both"/>
      <w:outlineLvl w:val="4"/>
    </w:pPr>
    <w:rPr>
      <w:rFonts w:ascii="Cambria" w:hAnsi="Cambria" w:eastAsia="Times New Roman" w:cs="Times New Roman"/>
      <w:color w:val="243F60"/>
      <w:sz w:val="28"/>
      <w:szCs w:val="20"/>
    </w:rPr>
  </w:style>
  <w:style w:type="paragraph" w:styleId="Heading6">
    <w:name w:val="heading 6"/>
    <w:basedOn w:val="Normal"/>
    <w:next w:val="Normal"/>
    <w:link w:val="6"/>
    <w:uiPriority w:val="9"/>
    <w:unhideWhenUsed/>
    <w:qFormat/>
    <w:pPr>
      <w:keepNext w:val="true"/>
      <w:keepLines/>
      <w:widowControl w:val="false"/>
      <w:spacing w:before="200" w:after="0"/>
      <w:ind w:hanging="1152" w:left="1152"/>
      <w:jc w:val="both"/>
      <w:outlineLvl w:val="5"/>
    </w:pPr>
    <w:rPr>
      <w:rFonts w:ascii="Cambria" w:hAnsi="Cambria" w:eastAsia="Times New Roman" w:cs="Times New Roman"/>
      <w:i/>
      <w:iCs/>
      <w:color w:val="243F60"/>
      <w:sz w:val="28"/>
      <w:szCs w:val="20"/>
    </w:rPr>
  </w:style>
  <w:style w:type="paragraph" w:styleId="Heading7">
    <w:name w:val="heading 7"/>
    <w:basedOn w:val="Normal"/>
    <w:next w:val="Normal"/>
    <w:link w:val="7"/>
    <w:uiPriority w:val="9"/>
    <w:unhideWhenUsed/>
    <w:qFormat/>
    <w:pPr>
      <w:keepNext w:val="true"/>
      <w:keepLines/>
      <w:widowControl w:val="false"/>
      <w:spacing w:before="200" w:after="0"/>
      <w:ind w:hanging="1296" w:left="1296"/>
      <w:jc w:val="both"/>
      <w:outlineLvl w:val="6"/>
    </w:pPr>
    <w:rPr>
      <w:rFonts w:ascii="Cambria" w:hAnsi="Cambria" w:eastAsia="Times New Roman" w:cs="Times New Roman"/>
      <w:i/>
      <w:iCs/>
      <w:color w:val="404040"/>
      <w:sz w:val="28"/>
      <w:szCs w:val="20"/>
    </w:rPr>
  </w:style>
  <w:style w:type="paragraph" w:styleId="Heading8">
    <w:name w:val="heading 8"/>
    <w:basedOn w:val="Normal"/>
    <w:next w:val="Normal"/>
    <w:link w:val="8"/>
    <w:uiPriority w:val="9"/>
    <w:unhideWhenUsed/>
    <w:qFormat/>
    <w:pPr>
      <w:keepNext w:val="true"/>
      <w:keepLines/>
      <w:widowControl w:val="false"/>
      <w:spacing w:before="200" w:after="0"/>
      <w:ind w:hanging="1440" w:left="1440"/>
      <w:jc w:val="both"/>
      <w:outlineLvl w:val="7"/>
    </w:pPr>
    <w:rPr>
      <w:rFonts w:ascii="Cambria" w:hAnsi="Cambria" w:eastAsia="Times New Roman" w:cs="Times New Roman"/>
      <w:color w:val="404040"/>
      <w:sz w:val="20"/>
      <w:szCs w:val="20"/>
    </w:rPr>
  </w:style>
  <w:style w:type="paragraph" w:styleId="Heading9">
    <w:name w:val="heading 9"/>
    <w:basedOn w:val="Normal"/>
    <w:next w:val="Normal"/>
    <w:link w:val="9"/>
    <w:uiPriority w:val="9"/>
    <w:unhideWhenUsed/>
    <w:qFormat/>
    <w:pPr>
      <w:keepNext w:val="true"/>
      <w:keepLines/>
      <w:widowControl w:val="false"/>
      <w:spacing w:before="200" w:after="0"/>
      <w:ind w:hanging="1584" w:left="1584"/>
      <w:jc w:val="both"/>
      <w:outlineLvl w:val="8"/>
    </w:pPr>
    <w:rPr>
      <w:rFonts w:ascii="Cambria" w:hAnsi="Cambria" w:eastAsia="Times New Roman" w:cs="Times New Roman"/>
      <w:i/>
      <w:iCs/>
      <w:color w:val="404040"/>
      <w:sz w:val="20"/>
      <w:szCs w:val="20"/>
    </w:rPr>
  </w:style>
  <w:style w:type="character" w:styleId="Heading1Char">
    <w:name w:val="Heading 1 Char"/>
    <w:uiPriority w:val="9"/>
    <w:qFormat/>
    <w:rPr>
      <w:rFonts w:ascii="Arial" w:hAnsi="Arial" w:eastAsia="Arial" w:cs="Arial"/>
      <w:sz w:val="40"/>
      <w:szCs w:val="40"/>
    </w:rPr>
  </w:style>
  <w:style w:type="character" w:styleId="Heading2Char">
    <w:name w:val="Heading 2 Char"/>
    <w:uiPriority w:val="9"/>
    <w:qFormat/>
    <w:rPr>
      <w:rFonts w:ascii="Arial" w:hAnsi="Arial" w:eastAsia="Arial" w:cs="Arial"/>
      <w:sz w:val="34"/>
    </w:rPr>
  </w:style>
  <w:style w:type="character" w:styleId="Heading3Char">
    <w:name w:val="Heading 3 Char"/>
    <w:uiPriority w:val="9"/>
    <w:qFormat/>
    <w:rPr>
      <w:rFonts w:ascii="Arial" w:hAnsi="Arial" w:eastAsia="Arial" w:cs="Arial"/>
      <w:sz w:val="30"/>
      <w:szCs w:val="30"/>
    </w:rPr>
  </w:style>
  <w:style w:type="character" w:styleId="Heading4Char">
    <w:name w:val="Heading 4 Char"/>
    <w:uiPriority w:val="9"/>
    <w:qFormat/>
    <w:rPr>
      <w:rFonts w:ascii="Arial" w:hAnsi="Arial" w:eastAsia="Arial" w:cs="Arial"/>
      <w:b/>
      <w:bCs/>
      <w:sz w:val="26"/>
      <w:szCs w:val="26"/>
    </w:rPr>
  </w:style>
  <w:style w:type="character" w:styleId="Heading5Char">
    <w:name w:val="Heading 5 Char"/>
    <w:uiPriority w:val="9"/>
    <w:qFormat/>
    <w:rPr>
      <w:rFonts w:ascii="Arial" w:hAnsi="Arial" w:eastAsia="Arial" w:cs="Arial"/>
      <w:b/>
      <w:bCs/>
      <w:sz w:val="24"/>
      <w:szCs w:val="24"/>
    </w:rPr>
  </w:style>
  <w:style w:type="character" w:styleId="Heading6Char">
    <w:name w:val="Heading 6 Char"/>
    <w:uiPriority w:val="9"/>
    <w:qFormat/>
    <w:rPr>
      <w:rFonts w:ascii="Arial" w:hAnsi="Arial" w:eastAsia="Arial" w:cs="Arial"/>
      <w:b/>
      <w:bCs/>
      <w:sz w:val="22"/>
      <w:szCs w:val="22"/>
    </w:rPr>
  </w:style>
  <w:style w:type="character" w:styleId="Heading7Char">
    <w:name w:val="Heading 7 Char"/>
    <w:uiPriority w:val="9"/>
    <w:qFormat/>
    <w:rPr>
      <w:rFonts w:ascii="Arial" w:hAnsi="Arial" w:eastAsia="Arial" w:cs="Arial"/>
      <w:b/>
      <w:bCs/>
      <w:i/>
      <w:iCs/>
      <w:sz w:val="22"/>
      <w:szCs w:val="22"/>
    </w:rPr>
  </w:style>
  <w:style w:type="character" w:styleId="Heading8Char">
    <w:name w:val="Heading 8 Char"/>
    <w:uiPriority w:val="9"/>
    <w:qFormat/>
    <w:rPr>
      <w:rFonts w:ascii="Arial" w:hAnsi="Arial" w:eastAsia="Arial" w:cs="Arial"/>
      <w:i/>
      <w:iCs/>
      <w:sz w:val="22"/>
      <w:szCs w:val="22"/>
    </w:rPr>
  </w:style>
  <w:style w:type="character" w:styleId="Heading9Char">
    <w:name w:val="Heading 9 Char"/>
    <w:uiPriority w:val="9"/>
    <w:qFormat/>
    <w:rPr>
      <w:rFonts w:ascii="Arial" w:hAnsi="Arial" w:eastAsia="Arial" w:cs="Arial"/>
      <w:i/>
      <w:iCs/>
      <w:sz w:val="21"/>
      <w:szCs w:val="21"/>
    </w:rPr>
  </w:style>
  <w:style w:type="character" w:styleId="TitleChar">
    <w:name w:val="Title Char"/>
    <w:uiPriority w:val="10"/>
    <w:qFormat/>
    <w:rPr>
      <w:sz w:val="48"/>
      <w:szCs w:val="48"/>
    </w:rPr>
  </w:style>
  <w:style w:type="character" w:styleId="SubtitleChar">
    <w:name w:val="Subtitle Char"/>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uiPriority w:val="99"/>
    <w:qFormat/>
    <w:rPr/>
  </w:style>
  <w:style w:type="character" w:styleId="FooterChar">
    <w:name w:val="Footer Char"/>
    <w:uiPriority w:val="99"/>
    <w:qFormat/>
    <w:rPr/>
  </w:style>
  <w:style w:type="character" w:styleId="CaptionChar">
    <w:name w:val="Caption Char"/>
    <w:uiPriority w:val="35"/>
    <w:qFormat/>
    <w:rPr>
      <w:b/>
      <w:bCs/>
      <w:color w:themeColor="accent1" w:val="4F81BD"/>
      <w:sz w:val="18"/>
      <w:szCs w:val="18"/>
    </w:rPr>
  </w:style>
  <w:style w:type="character" w:styleId="Hyperlink">
    <w:name w:val="Hyperlink"/>
    <w:uiPriority w:val="99"/>
    <w:unhideWhenUsed/>
    <w:rPr>
      <w:color w:themeColor="hyperlink" w:val="0000FF"/>
      <w:u w:val="single"/>
    </w:rPr>
  </w:style>
  <w:style w:type="character" w:styleId="FootnoteTextChar">
    <w:name w:val="Footnote Text Char"/>
    <w:uiPriority w:val="99"/>
    <w:qFormat/>
    <w:rPr>
      <w:sz w:val="18"/>
    </w:rPr>
  </w:style>
  <w:style w:type="character" w:styleId="user">
    <w:name w:val="Символ сноски (user)"/>
    <w:uiPriority w:val="99"/>
    <w:unhideWhenUsed/>
    <w:qFormat/>
    <w:rPr>
      <w:vertAlign w:val="superscript"/>
    </w:rPr>
  </w:style>
  <w:style w:type="character" w:styleId="Style5">
    <w:name w:val="Символ сноски"/>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user1">
    <w:name w:val="Символ концевой сноски (user)"/>
    <w:uiPriority w:val="99"/>
    <w:semiHidden/>
    <w:unhideWhenUsed/>
    <w:qFormat/>
    <w:rPr>
      <w:vertAlign w:val="superscript"/>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Style7">
    <w:name w:val="Основной шрифт абзаца"/>
    <w:uiPriority w:val="1"/>
    <w:unhideWhenUsed/>
    <w:qFormat/>
    <w:rPr/>
  </w:style>
  <w:style w:type="character" w:styleId="Style8">
    <w:name w:val="Нижний колонтитул Знак"/>
    <w:uiPriority w:val="99"/>
    <w:qFormat/>
    <w:rPr>
      <w:sz w:val="24"/>
      <w:szCs w:val="24"/>
    </w:rPr>
  </w:style>
  <w:style w:type="character" w:styleId="Style9">
    <w:name w:val="Основной текст Знак"/>
    <w:uiPriority w:val="99"/>
    <w:qFormat/>
    <w:rPr>
      <w:sz w:val="28"/>
      <w:szCs w:val="28"/>
      <w:lang w:val="ru-RU"/>
    </w:rPr>
  </w:style>
  <w:style w:type="character" w:styleId="Style10">
    <w:name w:val="Выделение"/>
    <w:qFormat/>
    <w:rPr>
      <w:rFonts w:cs="Times New Roman"/>
      <w:i/>
      <w:iCs/>
    </w:rPr>
  </w:style>
  <w:style w:type="character" w:styleId="PageNumber">
    <w:name w:val="page number"/>
    <w:basedOn w:val="Style7"/>
    <w:qFormat/>
    <w:rPr/>
  </w:style>
  <w:style w:type="character" w:styleId="Style11">
    <w:name w:val="Гиперссылка"/>
    <w:uiPriority w:val="99"/>
    <w:unhideWhenUsed/>
    <w:qFormat/>
    <w:rPr>
      <w:color w:val="0000FF"/>
      <w:u w:val="single"/>
    </w:rPr>
  </w:style>
  <w:style w:type="character" w:styleId="Style12">
    <w:name w:val="Просмотренная гиперссылка"/>
    <w:uiPriority w:val="99"/>
    <w:unhideWhenUsed/>
    <w:qFormat/>
    <w:rPr>
      <w:color w:val="800080"/>
      <w:u w:val="single"/>
    </w:rPr>
  </w:style>
  <w:style w:type="character" w:styleId="Style13">
    <w:name w:val="Схема документа Знак"/>
    <w:link w:val="Style41"/>
    <w:uiPriority w:val="99"/>
    <w:qFormat/>
    <w:rPr>
      <w:rFonts w:ascii="Tahoma" w:hAnsi="Tahoma" w:cs="Tahoma"/>
      <w:sz w:val="16"/>
      <w:szCs w:val="16"/>
    </w:rPr>
  </w:style>
  <w:style w:type="character" w:styleId="1">
    <w:name w:val="Заголовок 1 Знак"/>
    <w:qFormat/>
    <w:rPr>
      <w:b/>
      <w:bCs/>
      <w:sz w:val="28"/>
      <w:szCs w:val="28"/>
    </w:rPr>
  </w:style>
  <w:style w:type="character" w:styleId="Style14">
    <w:name w:val="Текст примечания Знак"/>
    <w:basedOn w:val="Style7"/>
    <w:link w:val="Style42"/>
    <w:uiPriority w:val="99"/>
    <w:qFormat/>
    <w:rPr/>
  </w:style>
  <w:style w:type="character" w:styleId="Style15">
    <w:name w:val="Верхний колонтитул Знак"/>
    <w:uiPriority w:val="99"/>
    <w:qFormat/>
    <w:rPr>
      <w:sz w:val="24"/>
      <w:szCs w:val="24"/>
    </w:rPr>
  </w:style>
  <w:style w:type="character" w:styleId="Style16">
    <w:name w:val="Основной текст с отступом Знак"/>
    <w:uiPriority w:val="99"/>
    <w:qFormat/>
    <w:rPr>
      <w:sz w:val="24"/>
      <w:szCs w:val="24"/>
    </w:rPr>
  </w:style>
  <w:style w:type="character" w:styleId="3">
    <w:name w:val="Основной текст 3 Знак"/>
    <w:link w:val="35"/>
    <w:uiPriority w:val="99"/>
    <w:qFormat/>
    <w:rPr>
      <w:sz w:val="16"/>
      <w:szCs w:val="16"/>
    </w:rPr>
  </w:style>
  <w:style w:type="character" w:styleId="Style17">
    <w:name w:val="Текст выноски Знак"/>
    <w:link w:val="Style38"/>
    <w:semiHidden/>
    <w:qFormat/>
    <w:rPr>
      <w:rFonts w:ascii="Tahoma" w:hAnsi="Tahoma" w:cs="Tahoma"/>
      <w:sz w:val="16"/>
      <w:szCs w:val="16"/>
    </w:rPr>
  </w:style>
  <w:style w:type="character" w:styleId="Style18">
    <w:name w:val="Знак примечания"/>
    <w:uiPriority w:val="99"/>
    <w:unhideWhenUsed/>
    <w:qFormat/>
    <w:rPr>
      <w:sz w:val="16"/>
      <w:szCs w:val="16"/>
    </w:rPr>
  </w:style>
  <w:style w:type="character" w:styleId="2H21H2212h22RTCiz2">
    <w:name w:val="Заголовок 2 Знак,H2 Знак1,H2 Знак Знак,Заголовок 21 Знак,2 Знак,h2 Знак,Б2 Знак,RTC Знак,iz2 Знак,Раздел Знак Знак"/>
    <w:link w:val="2H2H2212h22RTCiz2"/>
    <w:qFormat/>
    <w:rPr>
      <w:rFonts w:ascii="Cambria" w:hAnsi="Cambria" w:eastAsia="Times New Roman" w:cs="Times New Roman"/>
      <w:b/>
      <w:bCs/>
      <w:i/>
      <w:iCs/>
      <w:sz w:val="24"/>
      <w:szCs w:val="24"/>
    </w:rPr>
  </w:style>
  <w:style w:type="character" w:styleId="11">
    <w:name w:val="м1 Знак"/>
    <w:link w:val="19"/>
    <w:qFormat/>
    <w:rPr>
      <w:sz w:val="24"/>
      <w:szCs w:val="24"/>
      <w:lang w:val="en-US" w:eastAsia="en-US" w:bidi="en-US"/>
    </w:rPr>
  </w:style>
  <w:style w:type="character" w:styleId="16">
    <w:name w:val="Знак Знак16"/>
    <w:uiPriority w:val="99"/>
    <w:qFormat/>
    <w:rPr>
      <w:rFonts w:ascii="Times New Roman" w:hAnsi="Times New Roman" w:cs="Times New Roman"/>
      <w:b/>
      <w:bCs/>
      <w:i/>
      <w:iCs/>
      <w:sz w:val="24"/>
      <w:szCs w:val="24"/>
      <w:lang w:eastAsia="en-US"/>
    </w:rPr>
  </w:style>
  <w:style w:type="character" w:styleId="Style19">
    <w:name w:val="Текст Знак"/>
    <w:link w:val="Style45"/>
    <w:uiPriority w:val="99"/>
    <w:qFormat/>
    <w:rPr>
      <w:rFonts w:ascii="Courier New" w:hAnsi="Courier New"/>
      <w:lang w:val="en-US" w:eastAsia="en-US"/>
    </w:rPr>
  </w:style>
  <w:style w:type="character" w:styleId="12">
    <w:name w:val="з1 Знак"/>
    <w:link w:val="110"/>
    <w:qFormat/>
    <w:rPr>
      <w:rFonts w:cs="Arial"/>
      <w:b/>
      <w:bCs/>
      <w:sz w:val="28"/>
      <w:szCs w:val="24"/>
      <w:lang w:val="en-US" w:eastAsia="en-US" w:bidi="en-US"/>
    </w:rPr>
  </w:style>
  <w:style w:type="character" w:styleId="2">
    <w:name w:val="з2 Знак"/>
    <w:link w:val="23"/>
    <w:qFormat/>
    <w:rPr>
      <w:b/>
      <w:bCs/>
      <w:i/>
      <w:iCs/>
      <w:sz w:val="24"/>
      <w:szCs w:val="28"/>
      <w:lang w:val="en-US" w:eastAsia="en-US" w:bidi="en-US"/>
    </w:rPr>
  </w:style>
  <w:style w:type="character" w:styleId="31">
    <w:name w:val="з3 Знак"/>
    <w:link w:val="36"/>
    <w:qFormat/>
    <w:rPr>
      <w:b/>
      <w:bCs/>
      <w:i/>
      <w:iCs/>
      <w:sz w:val="24"/>
      <w:szCs w:val="28"/>
      <w:lang w:val="en-US" w:eastAsia="en-US" w:bidi="en-US"/>
    </w:rPr>
  </w:style>
  <w:style w:type="character" w:styleId="Style20">
    <w:name w:val="Тема примечания Знак"/>
    <w:link w:val="Style46"/>
    <w:qFormat/>
    <w:rPr>
      <w:b/>
      <w:bCs/>
    </w:rPr>
  </w:style>
  <w:style w:type="character" w:styleId="Style21">
    <w:name w:val="Сильная ссылка"/>
    <w:uiPriority w:val="32"/>
    <w:qFormat/>
    <w:rPr>
      <w:b/>
      <w:bCs/>
      <w:smallCaps/>
      <w:color w:val="C0504D"/>
      <w:spacing w:val="5"/>
      <w:u w:val="single"/>
    </w:rPr>
  </w:style>
  <w:style w:type="character" w:styleId="32">
    <w:name w:val="Основной текст с отступом 3 Знак"/>
    <w:link w:val="37"/>
    <w:uiPriority w:val="99"/>
    <w:qFormat/>
    <w:rPr>
      <w:sz w:val="16"/>
      <w:szCs w:val="16"/>
    </w:rPr>
  </w:style>
  <w:style w:type="character" w:styleId="Style22">
    <w:name w:val="Текст концевой сноски Знак"/>
    <w:basedOn w:val="Style7"/>
    <w:link w:val="Style49"/>
    <w:qFormat/>
    <w:rPr/>
  </w:style>
  <w:style w:type="character" w:styleId="Style23">
    <w:name w:val="Знак концевой сноски"/>
    <w:qFormat/>
    <w:rPr>
      <w:vertAlign w:val="superscript"/>
    </w:rPr>
  </w:style>
  <w:style w:type="character" w:styleId="13">
    <w:name w:val="Текст сноски Знак, Знак Знак1, Знак Знак"/>
    <w:basedOn w:val="Style7"/>
    <w:link w:val="Style50"/>
    <w:qFormat/>
    <w:rPr/>
  </w:style>
  <w:style w:type="character" w:styleId="Style24">
    <w:name w:val="Знак сноски"/>
    <w:qFormat/>
    <w:rPr>
      <w:vertAlign w:val="superscript"/>
    </w:rPr>
  </w:style>
  <w:style w:type="character" w:styleId="Style25">
    <w:name w:val="Выделенная цитата Знак"/>
    <w:link w:val="Style51"/>
    <w:uiPriority w:val="30"/>
    <w:qFormat/>
    <w:rPr>
      <w:rFonts w:ascii="Calibri" w:hAnsi="Calibri" w:eastAsia="Times New Roman" w:cs="Times New Roman"/>
      <w:b/>
      <w:bCs/>
      <w:i/>
      <w:iCs/>
      <w:color w:val="4F81BD"/>
      <w:sz w:val="22"/>
      <w:szCs w:val="22"/>
    </w:rPr>
  </w:style>
  <w:style w:type="character" w:styleId="33">
    <w:name w:val="Заголовок 3 Знак"/>
    <w:uiPriority w:val="9"/>
    <w:qFormat/>
    <w:rPr>
      <w:rFonts w:ascii="Cambria" w:hAnsi="Cambria" w:eastAsia="Calibri" w:cs="Cambria"/>
      <w:b/>
      <w:bCs/>
      <w:sz w:val="26"/>
      <w:szCs w:val="26"/>
    </w:rPr>
  </w:style>
  <w:style w:type="character" w:styleId="4">
    <w:name w:val="Заголовок 4 Знак"/>
    <w:uiPriority w:val="9"/>
    <w:qFormat/>
    <w:rPr>
      <w:rFonts w:ascii="Calibri" w:hAnsi="Calibri"/>
      <w:b/>
      <w:bCs/>
      <w:sz w:val="28"/>
      <w:szCs w:val="28"/>
    </w:rPr>
  </w:style>
  <w:style w:type="character" w:styleId="14">
    <w:name w:val="Основной текст Знак1"/>
    <w:qFormat/>
    <w:rPr>
      <w:sz w:val="24"/>
      <w:szCs w:val="24"/>
    </w:rPr>
  </w:style>
  <w:style w:type="character" w:styleId="Style26">
    <w:name w:val="Название Знак"/>
    <w:link w:val="111111"/>
    <w:qFormat/>
    <w:rPr>
      <w:sz w:val="24"/>
      <w:lang w:val="en-US"/>
    </w:rPr>
  </w:style>
  <w:style w:type="character" w:styleId="BodyTextIndent">
    <w:name w:val="Body Text Indent Знак Знак"/>
    <w:link w:val="BodyTextIndent2"/>
    <w:qFormat/>
    <w:rPr>
      <w:sz w:val="24"/>
      <w:szCs w:val="24"/>
    </w:rPr>
  </w:style>
  <w:style w:type="character" w:styleId="21">
    <w:name w:val="Основной текст с отступом 2 Знак"/>
    <w:link w:val="24"/>
    <w:qFormat/>
    <w:rPr>
      <w:sz w:val="24"/>
      <w:szCs w:val="24"/>
    </w:rPr>
  </w:style>
  <w:style w:type="character" w:styleId="22">
    <w:name w:val="Основной текст 2 Знак"/>
    <w:link w:val="25"/>
    <w:uiPriority w:val="99"/>
    <w:qFormat/>
    <w:rPr>
      <w:sz w:val="24"/>
      <w:szCs w:val="24"/>
    </w:rPr>
  </w:style>
  <w:style w:type="character" w:styleId="Style27">
    <w:name w:val="Строгий"/>
    <w:uiPriority w:val="22"/>
    <w:qFormat/>
    <w:rPr>
      <w:b/>
      <w:bCs/>
    </w:rPr>
  </w:style>
  <w:style w:type="character" w:styleId="WW8NumSt6z0">
    <w:name w:val="WW8NumSt6z0"/>
    <w:qFormat/>
    <w:rPr>
      <w:rFonts w:ascii="Times New Roman" w:hAnsi="Times New Roman" w:cs="Times New Roman"/>
    </w:rPr>
  </w:style>
  <w:style w:type="character" w:styleId="311">
    <w:name w:val="Заголовок 3 Знак1"/>
    <w:uiPriority w:val="9"/>
    <w:semiHidden/>
    <w:qFormat/>
    <w:rPr>
      <w:rFonts w:ascii="Cambria" w:hAnsi="Cambria" w:eastAsia="Times New Roman" w:cs="Times New Roman"/>
      <w:b/>
      <w:bCs/>
      <w:sz w:val="26"/>
      <w:szCs w:val="26"/>
    </w:rPr>
  </w:style>
  <w:style w:type="character" w:styleId="apple-style-span">
    <w:name w:val="apple-style-span"/>
    <w:basedOn w:val="Style7"/>
    <w:qFormat/>
    <w:rPr/>
  </w:style>
  <w:style w:type="character" w:styleId="WW8Num2z0">
    <w:name w:val="WW8Num2z0"/>
    <w:qFormat/>
    <w:rPr>
      <w:rFonts w:ascii="Symbol" w:hAnsi="Symbol"/>
    </w:rPr>
  </w:style>
  <w:style w:type="character" w:styleId="Style28">
    <w:name w:val="Р Знак"/>
    <w:link w:val="Style54"/>
    <w:qFormat/>
    <w:rPr>
      <w:rFonts w:eastAsia="Batang"/>
      <w:sz w:val="28"/>
      <w:szCs w:val="24"/>
      <w:lang w:bidi="ar-SA"/>
    </w:rPr>
  </w:style>
  <w:style w:type="character" w:styleId="Style29">
    <w:name w:val="Р табл ц Знак"/>
    <w:link w:val="Style55"/>
    <w:qFormat/>
    <w:rPr>
      <w:rFonts w:eastAsia="Batang"/>
      <w:sz w:val="28"/>
      <w:szCs w:val="24"/>
      <w:lang w:bidi="ar-SA"/>
    </w:rPr>
  </w:style>
  <w:style w:type="character" w:styleId="apple-converted-space">
    <w:name w:val="apple-converted-space"/>
    <w:basedOn w:val="Style7"/>
    <w:qFormat/>
    <w:rPr/>
  </w:style>
  <w:style w:type="character" w:styleId="Style30">
    <w:name w:val="Табл. Название Знак"/>
    <w:link w:val="Style67"/>
    <w:qFormat/>
    <w:rPr>
      <w:b/>
      <w:szCs w:val="24"/>
    </w:rPr>
  </w:style>
  <w:style w:type="character" w:styleId="A6">
    <w:name w:val="A6"/>
    <w:uiPriority w:val="99"/>
    <w:qFormat/>
    <w:rPr>
      <w:rFonts w:cs="OfficinaSansC"/>
      <w:color w:val="000000"/>
      <w:sz w:val="18"/>
      <w:szCs w:val="18"/>
    </w:rPr>
  </w:style>
  <w:style w:type="character" w:styleId="Style31">
    <w:name w:val="Основной текст_"/>
    <w:link w:val="29"/>
    <w:qFormat/>
    <w:rPr>
      <w:spacing w:val="2"/>
      <w:shd w:fill="FFFFFF" w:val="clear"/>
    </w:rPr>
  </w:style>
  <w:style w:type="character" w:styleId="ListParagraph1">
    <w:name w:val="Абзац списка Знак,Нумерованый список Знак,List Paragraph1 Знак"/>
    <w:link w:val="ListParagraph11"/>
    <w:uiPriority w:val="34"/>
    <w:qFormat/>
    <w:rPr>
      <w:sz w:val="24"/>
      <w:szCs w:val="24"/>
    </w:rPr>
  </w:style>
  <w:style w:type="character" w:styleId="5">
    <w:name w:val="Заголовок 5 Знак"/>
    <w:uiPriority w:val="9"/>
    <w:qFormat/>
    <w:rPr>
      <w:rFonts w:ascii="Cambria" w:hAnsi="Cambria"/>
      <w:color w:val="243F60"/>
      <w:sz w:val="28"/>
    </w:rPr>
  </w:style>
  <w:style w:type="character" w:styleId="6">
    <w:name w:val="Заголовок 6 Знак"/>
    <w:uiPriority w:val="9"/>
    <w:qFormat/>
    <w:rPr>
      <w:rFonts w:ascii="Cambria" w:hAnsi="Cambria"/>
      <w:i/>
      <w:iCs/>
      <w:color w:val="243F60"/>
      <w:sz w:val="28"/>
    </w:rPr>
  </w:style>
  <w:style w:type="character" w:styleId="7">
    <w:name w:val="Заголовок 7 Знак"/>
    <w:uiPriority w:val="9"/>
    <w:semiHidden/>
    <w:qFormat/>
    <w:rPr>
      <w:rFonts w:ascii="Cambria" w:hAnsi="Cambria"/>
      <w:i/>
      <w:iCs/>
      <w:color w:val="404040"/>
      <w:sz w:val="28"/>
    </w:rPr>
  </w:style>
  <w:style w:type="character" w:styleId="8">
    <w:name w:val="Заголовок 8 Знак"/>
    <w:uiPriority w:val="9"/>
    <w:semiHidden/>
    <w:qFormat/>
    <w:rPr>
      <w:rFonts w:ascii="Cambria" w:hAnsi="Cambria"/>
      <w:color w:val="404040"/>
    </w:rPr>
  </w:style>
  <w:style w:type="character" w:styleId="9">
    <w:name w:val="Заголовок 9 Знак"/>
    <w:uiPriority w:val="9"/>
    <w:semiHidden/>
    <w:qFormat/>
    <w:rPr>
      <w:rFonts w:ascii="Cambria" w:hAnsi="Cambria"/>
      <w:i/>
      <w:iCs/>
      <w:color w:val="404040"/>
    </w:rPr>
  </w:style>
  <w:style w:type="character" w:styleId="34">
    <w:name w:val="3_Основной текст Знак"/>
    <w:link w:val="38"/>
    <w:qFormat/>
    <w:rPr>
      <w:sz w:val="28"/>
    </w:rPr>
  </w:style>
  <w:style w:type="character" w:styleId="webofficeattributevalue1">
    <w:name w:val="webofficeattributevalue1"/>
    <w:qFormat/>
    <w:rPr>
      <w:rFonts w:ascii="Verdana" w:hAnsi="Verdana"/>
      <w:color w:val="000000"/>
      <w:sz w:val="18"/>
      <w:szCs w:val="18"/>
      <w:u w:val="none"/>
    </w:rPr>
  </w:style>
  <w:style w:type="character" w:styleId="-2">
    <w:name w:val="Светлая заливка - Акцент 2 Знак"/>
    <w:uiPriority w:val="30"/>
    <w:qFormat/>
    <w:rPr>
      <w:rFonts w:ascii="Calibri" w:hAnsi="Calibri" w:eastAsia="Times New Roman" w:cs="Times New Roman"/>
      <w:b/>
      <w:bCs/>
      <w:i/>
      <w:iCs/>
      <w:color w:val="4F81BD"/>
      <w:sz w:val="22"/>
      <w:szCs w:val="22"/>
    </w:rPr>
  </w:style>
  <w:style w:type="character" w:styleId="-1">
    <w:name w:val="Цветной список - Акцент 1 Знак"/>
    <w:uiPriority w:val="99"/>
    <w:qFormat/>
    <w:rPr>
      <w:sz w:val="24"/>
      <w:szCs w:val="24"/>
    </w:rPr>
  </w:style>
  <w:style w:type="character" w:styleId="Style32">
    <w:name w:val="Без интервала Знак"/>
    <w:link w:val="Style69"/>
    <w:uiPriority w:val="1"/>
    <w:qFormat/>
    <w:rPr>
      <w:rFonts w:ascii="Calibri" w:hAnsi="Calibri"/>
      <w:sz w:val="22"/>
      <w:szCs w:val="22"/>
    </w:rPr>
  </w:style>
  <w:style w:type="character" w:styleId="15">
    <w:name w:val="Текст примечания Знак1"/>
    <w:uiPriority w:val="99"/>
    <w:semiHidden/>
    <w:qFormat/>
    <w:rPr>
      <w:lang w:eastAsia="zh-CN"/>
    </w:rPr>
  </w:style>
  <w:style w:type="character" w:styleId="webofficeattributevalue">
    <w:name w:val="webofficeattributevalue"/>
    <w:qFormat/>
    <w:rPr/>
  </w:style>
  <w:style w:type="character" w:styleId="extended-textshort">
    <w:name w:val="extended-text__short"/>
    <w:qFormat/>
    <w:rPr/>
  </w:style>
  <w:style w:type="character" w:styleId="Style33">
    <w:name w:val="ГПП Основной текст Знак Знак"/>
    <w:link w:val="Style70"/>
    <w:qFormat/>
    <w:rPr>
      <w:sz w:val="24"/>
      <w:szCs w:val="24"/>
      <w:lang w:eastAsia="en-US"/>
    </w:rPr>
  </w:style>
  <w:style w:type="character" w:styleId="DefaultParagraphFont" w:default="1">
    <w:name w:val="Default Paragraph Font"/>
    <w:uiPriority w:val="1"/>
    <w:semiHidden/>
    <w:unhideWhenUsed/>
    <w:qFormat/>
    <w:rPr/>
  </w:style>
  <w:style w:type="character" w:styleId="user2">
    <w:name w:val="Ссылка указателя (user)"/>
    <w:qFormat/>
    <w:rPr/>
  </w:style>
  <w:style w:type="character" w:styleId="FollowedHyperlink">
    <w:name w:val="FollowedHyperlink"/>
    <w:rPr>
      <w:color w:val="800080"/>
      <w:u w:val="single"/>
    </w:rPr>
  </w:style>
  <w:style w:type="character" w:styleId="Style34">
    <w:name w:val="Ссылка указателя"/>
    <w:qFormat/>
    <w:rPr/>
  </w:style>
  <w:style w:type="paragraph" w:styleId="Style35">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link w:val="Style9"/>
    <w:uiPriority w:val="99"/>
    <w:qFormat/>
    <w:pPr/>
    <w:rPr>
      <w:sz w:val="28"/>
      <w:szCs w:val="28"/>
      <w:lang w:eastAsia="en-US"/>
    </w:rPr>
  </w:style>
  <w:style w:type="paragraph" w:styleId="List">
    <w:name w:val="List"/>
    <w:basedOn w:val="Normal"/>
    <w:qFormat/>
    <w:pPr>
      <w:ind w:hanging="283" w:left="283"/>
    </w:pPr>
    <w:rPr>
      <w:sz w:val="20"/>
      <w:szCs w:val="20"/>
    </w:rPr>
  </w:style>
  <w:style w:type="paragraph" w:styleId="Caption">
    <w:name w:val="caption"/>
    <w:basedOn w:val="Normal"/>
    <w:next w:val="Normal"/>
    <w:link w:val="CaptionChar"/>
    <w:uiPriority w:val="35"/>
    <w:semiHidden/>
    <w:unhideWhenUsed/>
    <w:qFormat/>
    <w:pPr>
      <w:spacing w:lineRule="auto" w:line="276"/>
    </w:pPr>
    <w:rPr>
      <w:b/>
      <w:bCs/>
      <w:color w:themeColor="accent1" w:val="4F81BD"/>
      <w:sz w:val="18"/>
      <w:szCs w:val="18"/>
    </w:rPr>
  </w:style>
  <w:style w:type="paragraph" w:styleId="Style36">
    <w:name w:val="Указатель"/>
    <w:basedOn w:val="Normal"/>
    <w:qFormat/>
    <w:pPr>
      <w:suppressLineNumbers/>
    </w:pPr>
    <w:rPr>
      <w:rFonts w:cs="Noto Sans"/>
    </w:rPr>
  </w:style>
  <w:style w:type="paragraph" w:styleId="user3">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4">
    <w:name w:val="Указатель (user)"/>
    <w:basedOn w:val="Normal"/>
    <w:qFormat/>
    <w:pPr>
      <w:suppressLineNumbers/>
    </w:pPr>
    <w:rPr>
      <w:rFonts w:cs="Noto Sans"/>
    </w:rPr>
  </w:style>
  <w:style w:type="paragraph" w:styleId="ListParagraph">
    <w:name w:val="List Paragraph"/>
    <w:basedOn w:val="Normal"/>
    <w:uiPriority w:val="34"/>
    <w:qFormat/>
    <w:pPr>
      <w:spacing w:before="0" w:after="0"/>
      <w:ind w:left="720"/>
      <w:contextualSpacing/>
    </w:pPr>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Tahoma" w:cs="Noto Sans"/>
      <w:color w:val="auto"/>
      <w:kern w:val="0"/>
      <w:sz w:val="20"/>
      <w:szCs w:val="20"/>
      <w:lang w:val="ru-RU" w:eastAsia="zh-CN" w:bidi="ar-SA"/>
    </w:rPr>
  </w:style>
  <w:style w:type="paragraph" w:styleId="Title">
    <w:name w:val="Title"/>
    <w:basedOn w:val="Normal"/>
    <w:next w:val="Normal"/>
    <w:link w:val="TitleChar"/>
    <w:uiPriority w:val="10"/>
    <w:qFormat/>
    <w:pPr>
      <w:spacing w:before="300" w:after="200"/>
      <w:contextualSpacing/>
    </w:pPr>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left="720" w:right="72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user5">
    <w:name w:val="Колонтитулы (user)"/>
    <w:basedOn w:val="Normal"/>
    <w:qFormat/>
    <w:pPr/>
    <w:rPr/>
  </w:style>
  <w:style w:type="paragraph" w:styleId="Style37">
    <w:name w:val="Колонтитулы"/>
    <w:basedOn w:val="Normal"/>
    <w:qFormat/>
    <w:pPr/>
    <w:rPr/>
  </w:style>
  <w:style w:type="paragraph" w:styleId="Header">
    <w:name w:val="header"/>
    <w:basedOn w:val="Normal"/>
    <w:link w:val="Style15"/>
    <w:uiPriority w:val="99"/>
    <w:qFormat/>
    <w:pPr>
      <w:tabs>
        <w:tab w:val="clear" w:pos="709"/>
        <w:tab w:val="center" w:pos="4677" w:leader="none"/>
        <w:tab w:val="right" w:pos="9355" w:leader="none"/>
      </w:tabs>
    </w:pPr>
    <w:rPr>
      <w:lang w:val="en-US" w:eastAsia="en-US"/>
    </w:rPr>
  </w:style>
  <w:style w:type="paragraph" w:styleId="Footer">
    <w:name w:val="footer"/>
    <w:basedOn w:val="Normal"/>
    <w:link w:val="Style8"/>
    <w:uiPriority w:val="99"/>
    <w:qFormat/>
    <w:pPr>
      <w:tabs>
        <w:tab w:val="clear" w:pos="709"/>
        <w:tab w:val="center" w:pos="4677" w:leader="none"/>
        <w:tab w:val="right" w:pos="9355" w:leader="none"/>
      </w:tabs>
    </w:pPr>
    <w:rPr>
      <w:lang w:val="en-US" w:eastAsia="en-US"/>
    </w:rPr>
  </w:style>
  <w:style w:type="paragraph" w:styleId="FootnoteText">
    <w:name w:val="footnote text"/>
    <w:basedOn w:val="Normal"/>
    <w:link w:val="FootnoteTextChar"/>
    <w:uiPriority w:val="99"/>
    <w:semiHidden/>
    <w:unhideWhenUsed/>
    <w:pPr>
      <w:spacing w:lineRule="auto" w:line="240" w:before="0" w:after="40"/>
    </w:pPr>
    <w:rPr>
      <w:sz w:val="18"/>
    </w:rPr>
  </w:style>
  <w:style w:type="paragraph" w:styleId="EndnoteText">
    <w:name w:val="endnote text"/>
    <w:basedOn w:val="Normal"/>
    <w:link w:val="EndnoteTextChar"/>
    <w:uiPriority w:val="99"/>
    <w:semiHidden/>
    <w:unhideWhenUsed/>
    <w:pPr>
      <w:spacing w:lineRule="auto" w:line="240" w:before="0" w:after="0"/>
    </w:pPr>
    <w:rPr>
      <w:sz w:val="20"/>
    </w:rPr>
  </w:style>
  <w:style w:type="paragraph" w:styleId="TOC1">
    <w:name w:val="toc 1"/>
    <w:basedOn w:val="Normal"/>
    <w:next w:val="Normal"/>
    <w:uiPriority w:val="39"/>
    <w:unhideWhenUsed/>
    <w:qFormat/>
    <w:pPr>
      <w:tabs>
        <w:tab w:val="clear" w:pos="709"/>
        <w:tab w:val="right" w:pos="9628" w:leader="dot"/>
      </w:tabs>
      <w:spacing w:before="0" w:after="60"/>
      <w:ind w:firstLine="6" w:right="125"/>
      <w:jc w:val="center"/>
    </w:pPr>
    <w:rPr>
      <w:rFonts w:ascii="Calibri" w:hAnsi="Calibri"/>
      <w:sz w:val="22"/>
      <w:szCs w:val="22"/>
    </w:rPr>
  </w:style>
  <w:style w:type="paragraph" w:styleId="TOC2">
    <w:name w:val="toc 2"/>
    <w:basedOn w:val="Normal"/>
    <w:next w:val="Normal"/>
    <w:uiPriority w:val="39"/>
    <w:unhideWhenUsed/>
    <w:qFormat/>
    <w:pPr>
      <w:spacing w:lineRule="auto" w:line="276" w:before="0" w:after="100"/>
      <w:ind w:left="220"/>
    </w:pPr>
    <w:rPr>
      <w:rFonts w:ascii="Calibri" w:hAnsi="Calibri"/>
      <w:sz w:val="22"/>
      <w:szCs w:val="22"/>
    </w:rPr>
  </w:style>
  <w:style w:type="paragraph" w:styleId="TOC3">
    <w:name w:val="toc 3"/>
    <w:basedOn w:val="Normal"/>
    <w:next w:val="Normal"/>
    <w:uiPriority w:val="39"/>
    <w:unhideWhenUsed/>
    <w:qFormat/>
    <w:pPr>
      <w:spacing w:lineRule="auto" w:line="276" w:before="0" w:after="100"/>
      <w:ind w:left="440"/>
    </w:pPr>
    <w:rPr>
      <w:rFonts w:ascii="Calibri" w:hAnsi="Calibri"/>
      <w:sz w:val="22"/>
      <w:szCs w:val="22"/>
    </w:rPr>
  </w:style>
  <w:style w:type="paragraph" w:styleId="TOC4">
    <w:name w:val="toc 4"/>
    <w:basedOn w:val="Normal"/>
    <w:next w:val="Normal"/>
    <w:uiPriority w:val="39"/>
    <w:unhideWhenUsed/>
    <w:pPr>
      <w:spacing w:before="0" w:after="57"/>
      <w:ind w:hanging="0" w:left="850" w:right="0"/>
    </w:pPr>
    <w:rPr/>
  </w:style>
  <w:style w:type="paragraph" w:styleId="TOC5">
    <w:name w:val="toc 5"/>
    <w:basedOn w:val="Normal"/>
    <w:next w:val="Normal"/>
    <w:uiPriority w:val="39"/>
    <w:unhideWhenUsed/>
    <w:pPr>
      <w:spacing w:before="0" w:after="57"/>
      <w:ind w:hanging="0" w:left="1134" w:right="0"/>
    </w:pPr>
    <w:rPr/>
  </w:style>
  <w:style w:type="paragraph" w:styleId="TOC6">
    <w:name w:val="toc 6"/>
    <w:basedOn w:val="Normal"/>
    <w:next w:val="Normal"/>
    <w:uiPriority w:val="39"/>
    <w:unhideWhenUsed/>
    <w:pPr>
      <w:spacing w:before="0" w:after="57"/>
      <w:ind w:hanging="0" w:left="1417" w:right="0"/>
    </w:pPr>
    <w:rPr/>
  </w:style>
  <w:style w:type="paragraph" w:styleId="TOC7">
    <w:name w:val="toc 7"/>
    <w:basedOn w:val="Normal"/>
    <w:next w:val="Normal"/>
    <w:uiPriority w:val="39"/>
    <w:unhideWhenUsed/>
    <w:pPr>
      <w:spacing w:before="0" w:after="57"/>
      <w:ind w:hanging="0" w:left="1701" w:right="0"/>
    </w:pPr>
    <w:rPr/>
  </w:style>
  <w:style w:type="paragraph" w:styleId="TOC8">
    <w:name w:val="toc 8"/>
    <w:basedOn w:val="Normal"/>
    <w:next w:val="Normal"/>
    <w:uiPriority w:val="39"/>
    <w:unhideWhenUsed/>
    <w:pPr>
      <w:spacing w:before="0" w:after="57"/>
      <w:ind w:hanging="0" w:left="1984" w:right="0"/>
    </w:pPr>
    <w:rPr/>
  </w:style>
  <w:style w:type="paragraph" w:styleId="TOC9">
    <w:name w:val="toc 9"/>
    <w:basedOn w:val="Normal"/>
    <w:next w:val="Normal"/>
    <w:uiPriority w:val="39"/>
    <w:unhideWhenUsed/>
    <w:pPr>
      <w:spacing w:before="0" w:after="57"/>
      <w:ind w:hanging="0" w:left="2268" w:right="0"/>
    </w:pPr>
    <w:rPr/>
  </w:style>
  <w:style w:type="paragraph" w:styleId="IndexHeading">
    <w:name w:val="index heading"/>
    <w:basedOn w:val="user3"/>
    <w:pPr/>
    <w:rPr/>
  </w:style>
  <w:style w:type="paragraph" w:styleId="TOCHeading">
    <w:name w:val="TOC Heading"/>
    <w:basedOn w:val="Heading1"/>
    <w:next w:val="Normal"/>
    <w:uiPriority w:val="39"/>
    <w:qFormat/>
    <w:pPr>
      <w:keepLines/>
      <w:spacing w:lineRule="auto" w:line="276" w:before="480" w:after="120"/>
      <w:jc w:val="left"/>
      <w:outlineLvl w:val="9"/>
    </w:pPr>
    <w:rPr>
      <w:rFonts w:ascii="Cambria" w:hAnsi="Cambria"/>
      <w:color w:val="365F91"/>
    </w:rPr>
  </w:style>
  <w:style w:type="paragraph" w:styleId="TableofFigures">
    <w:name w:val="table of figures"/>
    <w:basedOn w:val="Normal"/>
    <w:next w:val="Normal"/>
    <w:uiPriority w:val="99"/>
    <w:unhideWhenUsed/>
    <w:pPr>
      <w:spacing w:before="0" w:afterAutospacing="0" w:after="0"/>
    </w:pPr>
    <w:rPr/>
  </w:style>
  <w:style w:type="paragraph" w:styleId="2H2H2212h22RTCiz2">
    <w:name w:val="Заголовок 2,H2,H2 Знак,Заголовок 21,2,h2,Б2,RTC,iz2,Раздел Знак"/>
    <w:basedOn w:val="Normal"/>
    <w:next w:val="Normal"/>
    <w:link w:val="2H21H2212h22RTCiz2"/>
    <w:qFormat/>
    <w:pPr>
      <w:keepNext w:val="true"/>
      <w:spacing w:before="240" w:after="60"/>
      <w:outlineLvl w:val="1"/>
    </w:pPr>
    <w:rPr>
      <w:rFonts w:ascii="Cambria" w:hAnsi="Cambria"/>
      <w:b/>
      <w:bCs/>
      <w:i/>
      <w:iCs/>
      <w:lang w:val="en-US" w:eastAsia="en-US"/>
    </w:rPr>
  </w:style>
  <w:style w:type="paragraph" w:styleId="BodyTextIndent1">
    <w:name w:val="Body Text Indent"/>
    <w:basedOn w:val="BodyText"/>
    <w:link w:val="Style16"/>
    <w:uiPriority w:val="99"/>
    <w:qFormat/>
    <w:pPr/>
    <w:rPr/>
  </w:style>
  <w:style w:type="paragraph" w:styleId="Style38">
    <w:name w:val="Текст выноски"/>
    <w:basedOn w:val="Normal"/>
    <w:link w:val="Style17"/>
    <w:semiHidden/>
    <w:qFormat/>
    <w:pPr/>
    <w:rPr>
      <w:rFonts w:ascii="Tahoma" w:hAnsi="Tahoma"/>
      <w:sz w:val="16"/>
      <w:szCs w:val="16"/>
      <w:lang w:val="en-US" w:eastAsia="en-US"/>
    </w:rPr>
  </w:style>
  <w:style w:type="paragraph" w:styleId="17">
    <w:name w:val="Знак1"/>
    <w:basedOn w:val="Normal"/>
    <w:qFormat/>
    <w:pPr>
      <w:spacing w:lineRule="exact" w:line="240" w:before="0" w:after="160"/>
    </w:pPr>
    <w:rPr>
      <w:rFonts w:ascii="Verdana" w:hAnsi="Verdana"/>
      <w:sz w:val="20"/>
      <w:szCs w:val="20"/>
      <w:lang w:val="en-US" w:eastAsia="en-US"/>
    </w:rPr>
  </w:style>
  <w:style w:type="paragraph" w:styleId="heading22">
    <w:name w:val="heading 2.Заголовок 2 Знак"/>
    <w:basedOn w:val="Normal"/>
    <w:next w:val="Normal"/>
    <w:qFormat/>
    <w:pPr>
      <w:keepNext w:val="true"/>
      <w:tabs>
        <w:tab w:val="clear" w:pos="709"/>
        <w:tab w:val="left" w:pos="576" w:leader="none"/>
        <w:tab w:val="left" w:pos="1134" w:leader="none"/>
      </w:tabs>
      <w:spacing w:before="240" w:after="120"/>
      <w:ind w:hanging="567" w:left="1134"/>
      <w:outlineLvl w:val="1"/>
    </w:pPr>
    <w:rPr>
      <w:b/>
      <w:bCs/>
      <w:sz w:val="28"/>
      <w:szCs w:val="28"/>
    </w:rPr>
  </w:style>
  <w:style w:type="paragraph" w:styleId="Style39">
    <w:name w:val="Пункт"/>
    <w:basedOn w:val="Normal"/>
    <w:qFormat/>
    <w:pPr>
      <w:tabs>
        <w:tab w:val="clear" w:pos="709"/>
        <w:tab w:val="left" w:pos="1134" w:leader="none"/>
      </w:tabs>
      <w:spacing w:lineRule="auto" w:line="360"/>
      <w:ind w:hanging="1134" w:left="1134"/>
      <w:jc w:val="both"/>
    </w:pPr>
    <w:rPr>
      <w:rFonts w:eastAsia="Calibri"/>
      <w:sz w:val="28"/>
      <w:szCs w:val="20"/>
    </w:rPr>
  </w:style>
  <w:style w:type="paragraph" w:styleId="Style40">
    <w:name w:val="Знак Знак Знак"/>
    <w:basedOn w:val="Normal"/>
    <w:qFormat/>
    <w:pPr>
      <w:spacing w:lineRule="exact" w:line="240" w:before="0" w:after="160"/>
    </w:pPr>
    <w:rPr>
      <w:rFonts w:ascii="Verdana" w:hAnsi="Verdana" w:cs="Verdana"/>
      <w:sz w:val="20"/>
      <w:szCs w:val="20"/>
      <w:lang w:val="en-US" w:eastAsia="en-US"/>
    </w:rPr>
  </w:style>
  <w:style w:type="paragraph" w:styleId="ListParagraph11">
    <w:name w:val="Абзац списка,Нумерованый список,List Paragraph1"/>
    <w:basedOn w:val="Normal"/>
    <w:link w:val="ListParagraph1"/>
    <w:uiPriority w:val="34"/>
    <w:qFormat/>
    <w:pPr>
      <w:spacing w:before="0" w:after="0"/>
      <w:ind w:left="720"/>
      <w:contextualSpacing/>
    </w:pPr>
    <w:rPr>
      <w:lang w:val="en-US" w:eastAsia="en-US"/>
    </w:rPr>
  </w:style>
  <w:style w:type="paragraph" w:styleId="35">
    <w:name w:val="Основной текст 3"/>
    <w:basedOn w:val="Normal"/>
    <w:link w:val="3"/>
    <w:uiPriority w:val="99"/>
    <w:qFormat/>
    <w:pPr>
      <w:spacing w:before="0" w:after="120"/>
    </w:pPr>
    <w:rPr>
      <w:sz w:val="16"/>
      <w:szCs w:val="16"/>
      <w:lang w:val="en-US" w:eastAsia="en-US"/>
    </w:rPr>
  </w:style>
  <w:style w:type="paragraph" w:styleId="18">
    <w:name w:val="Знак Знак Знак1"/>
    <w:basedOn w:val="Normal"/>
    <w:qFormat/>
    <w:pPr>
      <w:spacing w:lineRule="exact" w:line="240" w:before="0" w:after="160"/>
    </w:pPr>
    <w:rPr>
      <w:rFonts w:ascii="Verdana" w:hAnsi="Verdana" w:cs="Verdana"/>
      <w:sz w:val="20"/>
      <w:szCs w:val="20"/>
      <w:lang w:val="en-US" w:eastAsia="en-US"/>
    </w:rPr>
  </w:style>
  <w:style w:type="paragraph" w:styleId="xl63">
    <w:name w:val="xl63"/>
    <w:basedOn w:val="Normal"/>
    <w:qFormat/>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CYR" w:hAnsi="Arial CYR" w:cs="Arial CYR"/>
      <w:b/>
      <w:bCs/>
      <w:sz w:val="18"/>
      <w:szCs w:val="18"/>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tyle>
  <w:style w:type="paragraph" w:styleId="xl65">
    <w:name w:val="xl65"/>
    <w:basedOn w:val="Normal"/>
    <w:qFormat/>
    <w:pPr>
      <w:spacing w:beforeAutospacing="1" w:afterAutospacing="1"/>
      <w:jc w:val="center"/>
    </w:pPr>
    <w:rPr/>
  </w:style>
  <w:style w:type="paragraph" w:styleId="xl66">
    <w:name w:val="xl66"/>
    <w:basedOn w:val="Normal"/>
    <w:qFormat/>
    <w:pPr>
      <w:spacing w:beforeAutospacing="1" w:afterAutospacing="1"/>
      <w:jc w:val="center"/>
    </w:pPr>
    <w:rPr>
      <w:sz w:val="20"/>
      <w:szCs w:val="20"/>
    </w:rPr>
  </w:style>
  <w:style w:type="paragraph" w:styleId="xl67">
    <w:name w:val="xl67"/>
    <w:basedOn w:val="Normal"/>
    <w:qFormat/>
    <w:pPr>
      <w:pBdr>
        <w:top w:val="single" w:sz="8" w:space="0" w:color="000000"/>
        <w:left w:val="single" w:sz="8" w:space="0" w:color="000000"/>
        <w:right w:val="single" w:sz="8" w:space="0" w:color="000000"/>
      </w:pBdr>
      <w:spacing w:beforeAutospacing="1" w:afterAutospacing="1"/>
      <w:jc w:val="center"/>
    </w:pPr>
    <w:rPr>
      <w:rFonts w:ascii="Arial CYR" w:hAnsi="Arial CYR" w:cs="Arial CYR"/>
      <w:b/>
      <w:bCs/>
      <w:sz w:val="20"/>
      <w:szCs w:val="20"/>
    </w:rPr>
  </w:style>
  <w:style w:type="paragraph" w:styleId="xl68">
    <w:name w:val="xl68"/>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sz w:val="20"/>
      <w:szCs w:val="20"/>
    </w:rPr>
  </w:style>
  <w:style w:type="paragraph" w:styleId="xl69">
    <w:name w:val="xl69"/>
    <w:basedOn w:val="Normal"/>
    <w:qFormat/>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CYR" w:hAnsi="Arial CYR" w:cs="Arial CYR"/>
      <w:b/>
      <w:bCs/>
      <w:sz w:val="20"/>
      <w:szCs w:val="20"/>
    </w:rPr>
  </w:style>
  <w:style w:type="paragraph" w:styleId="Style41">
    <w:name w:val="Схема документа"/>
    <w:basedOn w:val="Normal"/>
    <w:link w:val="Style13"/>
    <w:uiPriority w:val="99"/>
    <w:qFormat/>
    <w:pPr/>
    <w:rPr>
      <w:rFonts w:ascii="Tahoma" w:hAnsi="Tahoma"/>
      <w:sz w:val="16"/>
      <w:szCs w:val="16"/>
      <w:lang w:val="en-US" w:eastAsia="en-US"/>
    </w:rPr>
  </w:style>
  <w:style w:type="paragraph" w:styleId="Style42">
    <w:name w:val="Текст примечания"/>
    <w:basedOn w:val="Normal"/>
    <w:link w:val="Style14"/>
    <w:uiPriority w:val="99"/>
    <w:unhideWhenUsed/>
    <w:qFormat/>
    <w:pPr/>
    <w:rPr>
      <w:sz w:val="20"/>
      <w:szCs w:val="20"/>
    </w:rPr>
  </w:style>
  <w:style w:type="paragraph" w:styleId="Style43">
    <w:name w:val="Содержимое таблицы"/>
    <w:basedOn w:val="Normal"/>
    <w:uiPriority w:val="99"/>
    <w:qFormat/>
    <w:pPr>
      <w:widowControl w:val="false"/>
      <w:suppressLineNumbers/>
    </w:pPr>
    <w:rPr>
      <w:rFonts w:ascii="Arial" w:hAnsi="Arial" w:cs="Arial"/>
      <w:sz w:val="20"/>
      <w:szCs w:val="20"/>
    </w:rPr>
  </w:style>
  <w:style w:type="paragraph" w:styleId="19">
    <w:name w:val="м1"/>
    <w:basedOn w:val="ListParagraph11"/>
    <w:link w:val="11"/>
    <w:qFormat/>
    <w:pPr>
      <w:numPr>
        <w:ilvl w:val="0"/>
        <w:numId w:val="4"/>
      </w:numPr>
      <w:spacing w:before="120" w:after="200"/>
      <w:contextualSpacing/>
      <w:jc w:val="both"/>
    </w:pPr>
    <w:rPr>
      <w:lang w:eastAsia="en-US" w:bidi="en-US"/>
    </w:rPr>
  </w:style>
  <w:style w:type="paragraph" w:styleId="Style44">
    <w:name w:val="Обычный (веб)"/>
    <w:basedOn w:val="Normal"/>
    <w:uiPriority w:val="99"/>
    <w:qFormat/>
    <w:pPr>
      <w:spacing w:beforeAutospacing="1" w:afterAutospacing="1"/>
    </w:pPr>
    <w:rPr>
      <w:rFonts w:eastAsia="Calibri"/>
      <w:lang w:val="en-US" w:bidi="en-US"/>
    </w:rPr>
  </w:style>
  <w:style w:type="paragraph" w:styleId="Style45">
    <w:name w:val="Текст"/>
    <w:basedOn w:val="Normal"/>
    <w:link w:val="Style19"/>
    <w:uiPriority w:val="99"/>
    <w:qFormat/>
    <w:pPr/>
    <w:rPr>
      <w:rFonts w:ascii="Courier New" w:hAnsi="Courier New"/>
      <w:sz w:val="20"/>
      <w:szCs w:val="20"/>
      <w:lang w:val="en-US" w:eastAsia="en-US"/>
    </w:rPr>
  </w:style>
  <w:style w:type="paragraph" w:styleId="110">
    <w:name w:val="з1"/>
    <w:basedOn w:val="Heading1"/>
    <w:link w:val="12"/>
    <w:qFormat/>
    <w:pPr>
      <w:numPr>
        <w:ilvl w:val="0"/>
        <w:numId w:val="5"/>
      </w:numPr>
      <w:spacing w:before="240" w:after="60"/>
      <w:jc w:val="left"/>
    </w:pPr>
    <w:rPr>
      <w:rFonts w:cs="Arial"/>
      <w:szCs w:val="24"/>
      <w:lang w:val="en-US" w:eastAsia="en-US" w:bidi="en-US"/>
    </w:rPr>
  </w:style>
  <w:style w:type="paragraph" w:styleId="23">
    <w:name w:val="з2"/>
    <w:basedOn w:val="2H2H2212h22RTCiz2"/>
    <w:link w:val="2"/>
    <w:qFormat/>
    <w:pPr>
      <w:numPr>
        <w:ilvl w:val="1"/>
        <w:numId w:val="5"/>
      </w:numPr>
      <w:ind w:left="792"/>
    </w:pPr>
    <w:rPr>
      <w:rFonts w:ascii="Times New Roman" w:hAnsi="Times New Roman"/>
      <w:szCs w:val="28"/>
      <w:lang w:val="en-US" w:eastAsia="en-US" w:bidi="en-US"/>
    </w:rPr>
  </w:style>
  <w:style w:type="paragraph" w:styleId="36">
    <w:name w:val="з3"/>
    <w:basedOn w:val="23"/>
    <w:link w:val="31"/>
    <w:qFormat/>
    <w:pPr>
      <w:numPr>
        <w:ilvl w:val="2"/>
        <w:numId w:val="5"/>
      </w:numPr>
      <w:spacing w:before="0" w:after="60"/>
    </w:pPr>
    <w:rPr/>
  </w:style>
  <w:style w:type="paragraph" w:styleId="Style46">
    <w:name w:val="Тема примечания"/>
    <w:basedOn w:val="Style42"/>
    <w:next w:val="Style42"/>
    <w:link w:val="Style20"/>
    <w:qFormat/>
    <w:pPr/>
    <w:rPr>
      <w:b/>
      <w:bCs/>
      <w:lang w:val="en-US" w:eastAsia="en-US"/>
    </w:rPr>
  </w:style>
  <w:style w:type="paragraph" w:styleId="Style47">
    <w:name w:val="Рецензия"/>
    <w:uiPriority w:val="99"/>
    <w:semiHidden/>
    <w:qFormat/>
    <w:pPr>
      <w:widowControl/>
      <w:suppressAutoHyphens w:val="true"/>
      <w:bidi w:val="0"/>
      <w:spacing w:before="0" w:after="0"/>
      <w:jc w:val="left"/>
    </w:pPr>
    <w:rPr>
      <w:rFonts w:ascii="Times New Roman" w:hAnsi="Times New Roman" w:eastAsia="Tahoma" w:cs="Noto Sans"/>
      <w:color w:val="auto"/>
      <w:kern w:val="0"/>
      <w:sz w:val="24"/>
      <w:szCs w:val="24"/>
      <w:lang w:val="ru-RU" w:eastAsia="ru-RU" w:bidi="ar-SA"/>
    </w:rPr>
  </w:style>
  <w:style w:type="paragraph" w:styleId="37">
    <w:name w:val="Основной текст с отступом 3"/>
    <w:basedOn w:val="Normal"/>
    <w:link w:val="32"/>
    <w:uiPriority w:val="99"/>
    <w:qFormat/>
    <w:pPr>
      <w:spacing w:before="0" w:after="120"/>
      <w:ind w:left="283"/>
    </w:pPr>
    <w:rPr>
      <w:sz w:val="16"/>
      <w:szCs w:val="16"/>
    </w:rPr>
  </w:style>
  <w:style w:type="paragraph" w:styleId="Style48">
    <w:name w:val="Маркированный список"/>
    <w:basedOn w:val="Normal"/>
    <w:qFormat/>
    <w:pPr>
      <w:numPr>
        <w:ilvl w:val="0"/>
        <w:numId w:val="7"/>
      </w:numPr>
      <w:spacing w:lineRule="auto" w:line="276" w:before="0" w:after="200"/>
    </w:pPr>
    <w:rPr>
      <w:rFonts w:ascii="Calibri" w:hAnsi="Calibri" w:eastAsia="Calibri" w:cs="Times New Roman"/>
      <w:sz w:val="22"/>
      <w:szCs w:val="20"/>
      <w:lang w:eastAsia="en-US"/>
    </w:rPr>
  </w:style>
  <w:style w:type="paragraph" w:styleId="Style49">
    <w:name w:val="Текст концевой сноски"/>
    <w:basedOn w:val="Normal"/>
    <w:link w:val="Style22"/>
    <w:qFormat/>
    <w:pPr/>
    <w:rPr>
      <w:sz w:val="20"/>
      <w:szCs w:val="20"/>
    </w:rPr>
  </w:style>
  <w:style w:type="paragraph" w:styleId="Style50">
    <w:name w:val="Текст сноски, Знак"/>
    <w:basedOn w:val="Normal"/>
    <w:link w:val="13"/>
    <w:qFormat/>
    <w:pPr/>
    <w:rPr>
      <w:sz w:val="20"/>
      <w:szCs w:val="20"/>
    </w:rPr>
  </w:style>
  <w:style w:type="paragraph" w:styleId="Style51">
    <w:name w:val="Выделенная цитата"/>
    <w:basedOn w:val="Normal"/>
    <w:next w:val="Normal"/>
    <w:link w:val="Style25"/>
    <w:uiPriority w:val="30"/>
    <w:qFormat/>
    <w:pPr>
      <w:pBdr>
        <w:bottom w:val="single" w:sz="4" w:space="4" w:color="4F81BD"/>
      </w:pBdr>
      <w:spacing w:lineRule="auto" w:line="276" w:before="200" w:after="280"/>
      <w:ind w:left="936" w:right="936"/>
    </w:pPr>
    <w:rPr>
      <w:rFonts w:ascii="Calibri" w:hAnsi="Calibri" w:eastAsia="Times New Roman" w:cs="Times New Roman"/>
      <w:b/>
      <w:bCs/>
      <w:i/>
      <w:iCs/>
      <w:color w:val="4F81BD"/>
      <w:sz w:val="22"/>
      <w:szCs w:val="22"/>
    </w:rPr>
  </w:style>
  <w:style w:type="paragraph" w:styleId="Arial1600">
    <w:name w:val="Стиль Arial 16 пт полужирный По центру Слева:  0 см Выступ:  0..."/>
    <w:basedOn w:val="Normal"/>
    <w:qFormat/>
    <w:pPr>
      <w:ind w:hanging="432" w:left="432"/>
      <w:jc w:val="center"/>
    </w:pPr>
    <w:rPr>
      <w:rFonts w:ascii="Arial" w:hAnsi="Arial"/>
      <w:b/>
      <w:bCs/>
      <w:sz w:val="28"/>
      <w:szCs w:val="20"/>
    </w:rPr>
  </w:style>
  <w:style w:type="paragraph" w:styleId="111">
    <w:name w:val="Знак Знак Знак1 Знак"/>
    <w:basedOn w:val="Normal"/>
    <w:qFormat/>
    <w:pPr>
      <w:tabs>
        <w:tab w:val="clear" w:pos="709"/>
        <w:tab w:val="left" w:pos="360" w:leader="none"/>
      </w:tabs>
      <w:spacing w:lineRule="exact" w:line="240" w:before="0" w:after="160"/>
    </w:pPr>
    <w:rPr>
      <w:rFonts w:ascii="Verdana" w:hAnsi="Verdana" w:cs="Verdana"/>
      <w:sz w:val="20"/>
      <w:szCs w:val="20"/>
      <w:lang w:val="en-US" w:eastAsia="en-US"/>
    </w:rPr>
  </w:style>
  <w:style w:type="paragraph" w:styleId="111111">
    <w:name w:val="Название,Заголовок,Название1,Название11,Название111"/>
    <w:basedOn w:val="Normal"/>
    <w:link w:val="Style26"/>
    <w:qFormat/>
    <w:pPr>
      <w:jc w:val="center"/>
    </w:pPr>
    <w:rPr>
      <w:szCs w:val="20"/>
      <w:lang w:val="en-US"/>
    </w:rPr>
  </w:style>
  <w:style w:type="paragraph" w:styleId="BodyTextIndent2">
    <w:name w:val="Body Text Indent Знак"/>
    <w:basedOn w:val="Normal"/>
    <w:link w:val="BodyTextIndent"/>
    <w:qFormat/>
    <w:pPr>
      <w:spacing w:lineRule="auto" w:line="360" w:before="120" w:after="120"/>
      <w:ind w:firstLine="709"/>
      <w:jc w:val="both"/>
    </w:pPr>
    <w:rPr>
      <w:lang w:val="en-US" w:eastAsia="en-US"/>
    </w:rPr>
  </w:style>
  <w:style w:type="paragraph" w:styleId="112">
    <w:name w:val="Основной текст с отступом1"/>
    <w:basedOn w:val="Normal"/>
    <w:qFormat/>
    <w:pPr>
      <w:spacing w:lineRule="auto" w:line="360" w:before="120" w:after="120"/>
      <w:ind w:firstLine="709"/>
      <w:jc w:val="both"/>
    </w:pPr>
    <w:rPr/>
  </w:style>
  <w:style w:type="paragraph" w:styleId="24">
    <w:name w:val="Основной текст с отступом 2"/>
    <w:basedOn w:val="Normal"/>
    <w:link w:val="21"/>
    <w:qFormat/>
    <w:pPr>
      <w:spacing w:lineRule="auto" w:line="480" w:before="0" w:after="120"/>
      <w:ind w:left="283"/>
    </w:pPr>
    <w:rPr/>
  </w:style>
  <w:style w:type="paragraph" w:styleId="Iauiue">
    <w:name w:val="Iau.iue"/>
    <w:basedOn w:val="Normal"/>
    <w:next w:val="Normal"/>
    <w:uiPriority w:val="99"/>
    <w:qFormat/>
    <w:pPr/>
    <w:rPr/>
  </w:style>
  <w:style w:type="paragraph" w:styleId="25">
    <w:name w:val="Основной текст 2"/>
    <w:basedOn w:val="Normal"/>
    <w:link w:val="22"/>
    <w:uiPriority w:val="99"/>
    <w:unhideWhenUsed/>
    <w:qFormat/>
    <w:pPr>
      <w:spacing w:lineRule="auto" w:line="480" w:before="0" w:after="120"/>
    </w:pPr>
    <w:rPr/>
  </w:style>
  <w:style w:type="paragraph" w:styleId="Default">
    <w:name w:val="Default"/>
    <w:qFormat/>
    <w:pPr>
      <w:widowControl/>
      <w:suppressAutoHyphens w:val="true"/>
      <w:bidi w:val="0"/>
      <w:spacing w:before="0" w:after="0"/>
      <w:jc w:val="left"/>
    </w:pPr>
    <w:rPr>
      <w:rFonts w:ascii="Arial" w:hAnsi="Arial" w:eastAsia="Tahoma" w:cs="Arial"/>
      <w:color w:val="000000"/>
      <w:kern w:val="0"/>
      <w:sz w:val="24"/>
      <w:szCs w:val="24"/>
      <w:lang w:val="ru-RU" w:eastAsia="ru-RU" w:bidi="ar-SA"/>
    </w:rPr>
  </w:style>
  <w:style w:type="paragraph" w:styleId="-">
    <w:name w:val="Стиль-таблиц"/>
    <w:basedOn w:val="Normal"/>
    <w:qFormat/>
    <w:pPr>
      <w:spacing w:lineRule="auto" w:line="360" w:before="120" w:after="0"/>
      <w:ind w:firstLine="851"/>
      <w:jc w:val="both"/>
    </w:pPr>
    <w:rPr>
      <w:rFonts w:ascii="Arial" w:hAnsi="Arial" w:cs="Arial"/>
    </w:rPr>
  </w:style>
  <w:style w:type="paragraph" w:styleId="formattext">
    <w:name w:val="formattext"/>
    <w:qFormat/>
    <w:pPr>
      <w:widowControl w:val="false"/>
      <w:suppressAutoHyphens w:val="true"/>
      <w:bidi w:val="0"/>
      <w:spacing w:before="0" w:after="0"/>
      <w:jc w:val="left"/>
    </w:pPr>
    <w:rPr>
      <w:rFonts w:ascii="Times New Roman" w:hAnsi="Times New Roman" w:eastAsia="Tahoma" w:cs="Noto Sans"/>
      <w:color w:val="auto"/>
      <w:kern w:val="0"/>
      <w:sz w:val="18"/>
      <w:szCs w:val="18"/>
      <w:lang w:val="ru-RU" w:eastAsia="ru-RU" w:bidi="ar-SA"/>
    </w:rPr>
  </w:style>
  <w:style w:type="paragraph" w:styleId="Style52">
    <w:name w:val="Стиль По ширине"/>
    <w:basedOn w:val="Normal"/>
    <w:qFormat/>
    <w:pPr>
      <w:jc w:val="both"/>
    </w:pPr>
    <w:rPr>
      <w:szCs w:val="20"/>
    </w:rPr>
  </w:style>
  <w:style w:type="paragraph" w:styleId="BodyTextIndent33">
    <w:name w:val="Body Text Indent 33"/>
    <w:basedOn w:val="Normal"/>
    <w:qFormat/>
    <w:pPr>
      <w:ind w:left="576"/>
      <w:jc w:val="both"/>
    </w:pPr>
    <w:rPr>
      <w:rFonts w:eastAsia="Batang"/>
      <w:lang w:eastAsia="ko-KR"/>
    </w:rPr>
  </w:style>
  <w:style w:type="paragraph" w:styleId="Style53">
    <w:name w:val="Указатель р"/>
    <w:qFormat/>
    <w:pPr>
      <w:widowControl w:val="false"/>
      <w:suppressAutoHyphens w:val="true"/>
      <w:bidi w:val="0"/>
      <w:spacing w:before="120" w:after="120"/>
      <w:jc w:val="center"/>
    </w:pPr>
    <w:rPr>
      <w:rFonts w:ascii="Arial" w:hAnsi="Arial" w:eastAsia="Tahoma" w:cs="Noto Sans"/>
      <w:color w:val="auto"/>
      <w:kern w:val="0"/>
      <w:sz w:val="24"/>
      <w:szCs w:val="20"/>
      <w:lang w:val="ru-RU" w:eastAsia="ru-RU" w:bidi="ar-SA"/>
    </w:rPr>
  </w:style>
  <w:style w:type="paragraph" w:styleId="211">
    <w:name w:val="Основной текст 21"/>
    <w:basedOn w:val="Normal"/>
    <w:qFormat/>
    <w:pPr>
      <w:jc w:val="both"/>
    </w:pPr>
    <w:rPr>
      <w:rFonts w:ascii="Times New Roman CYR" w:hAnsi="Times New Roman CYR"/>
      <w:b/>
      <w:szCs w:val="20"/>
    </w:rPr>
  </w:style>
  <w:style w:type="paragraph" w:styleId="Style54">
    <w:name w:val="Р"/>
    <w:link w:val="Style28"/>
    <w:qFormat/>
    <w:pPr>
      <w:widowControl w:val="false"/>
      <w:suppressAutoHyphens w:val="true"/>
      <w:bidi w:val="0"/>
      <w:spacing w:lineRule="auto" w:line="360" w:before="0" w:after="0"/>
      <w:ind w:firstLine="567"/>
      <w:jc w:val="both"/>
    </w:pPr>
    <w:rPr>
      <w:rFonts w:ascii="Times New Roman" w:hAnsi="Times New Roman" w:eastAsia="Batang" w:cs="Noto Sans"/>
      <w:color w:val="auto"/>
      <w:kern w:val="0"/>
      <w:sz w:val="28"/>
      <w:szCs w:val="24"/>
      <w:lang w:val="ru-RU" w:eastAsia="ru-RU" w:bidi="ar-SA"/>
    </w:rPr>
  </w:style>
  <w:style w:type="paragraph" w:styleId="Style55">
    <w:name w:val="Р табл ц"/>
    <w:basedOn w:val="Style54"/>
    <w:link w:val="Style29"/>
    <w:qFormat/>
    <w:pPr>
      <w:spacing w:lineRule="auto" w:line="240"/>
      <w:ind w:hanging="0"/>
      <w:jc w:val="center"/>
    </w:pPr>
    <w:rPr/>
  </w:style>
  <w:style w:type="paragraph" w:styleId="Style56">
    <w:name w:val="Р табл лев"/>
    <w:basedOn w:val="Style54"/>
    <w:qFormat/>
    <w:pPr>
      <w:spacing w:lineRule="auto" w:line="240"/>
      <w:ind w:hanging="0" w:left="30" w:right="33"/>
      <w:jc w:val="left"/>
    </w:pPr>
    <w:rPr/>
  </w:style>
  <w:style w:type="paragraph" w:styleId="Style57">
    <w:name w:val="Р од"/>
    <w:basedOn w:val="Style54"/>
    <w:qFormat/>
    <w:pPr>
      <w:suppressLineNumbers/>
      <w:tabs>
        <w:tab w:val="clear" w:pos="709"/>
        <w:tab w:val="left" w:pos="567" w:leader="none"/>
        <w:tab w:val="left" w:pos="851" w:leader="none"/>
      </w:tabs>
      <w:spacing w:lineRule="auto" w:line="240"/>
    </w:pPr>
    <w:rPr>
      <w:rFonts w:eastAsia="Times New Roman"/>
      <w:szCs w:val="28"/>
    </w:rPr>
  </w:style>
  <w:style w:type="paragraph" w:styleId="FORMATTEXT1">
    <w:name w:val=".FORMATTEXT"/>
    <w:uiPriority w:val="99"/>
    <w:qFormat/>
    <w:pPr>
      <w:widowControl w:val="false"/>
      <w:suppressAutoHyphens w:val="true"/>
      <w:bidi w:val="0"/>
      <w:spacing w:before="0" w:after="0"/>
      <w:jc w:val="left"/>
    </w:pPr>
    <w:rPr>
      <w:rFonts w:ascii="Times New Roman" w:hAnsi="Times New Roman" w:eastAsia="Tahoma" w:cs="Noto Sans"/>
      <w:color w:val="auto"/>
      <w:kern w:val="0"/>
      <w:sz w:val="24"/>
      <w:szCs w:val="24"/>
      <w:lang w:val="ru-RU" w:eastAsia="ru-RU" w:bidi="ar-SA"/>
    </w:rPr>
  </w:style>
  <w:style w:type="paragraph" w:styleId="HEADERTEXT">
    <w:name w:val=".HEADERTEXT"/>
    <w:uiPriority w:val="99"/>
    <w:qFormat/>
    <w:pPr>
      <w:widowControl w:val="false"/>
      <w:suppressAutoHyphens w:val="true"/>
      <w:bidi w:val="0"/>
      <w:spacing w:before="0" w:after="0"/>
      <w:jc w:val="left"/>
    </w:pPr>
    <w:rPr>
      <w:rFonts w:ascii="Arial" w:hAnsi="Arial" w:eastAsia="Tahoma" w:cs="Arial"/>
      <w:color w:val="2B4279"/>
      <w:kern w:val="0"/>
      <w:sz w:val="22"/>
      <w:szCs w:val="22"/>
      <w:lang w:val="ru-RU" w:eastAsia="ru-RU" w:bidi="ar-SA"/>
    </w:rPr>
  </w:style>
  <w:style w:type="paragraph" w:styleId="headertext1">
    <w:name w:val="headertext"/>
    <w:basedOn w:val="Normal"/>
    <w:qFormat/>
    <w:pPr>
      <w:spacing w:beforeAutospacing="1" w:afterAutospacing="1"/>
    </w:pPr>
    <w:rPr/>
  </w:style>
  <w:style w:type="paragraph" w:styleId="26">
    <w:name w:val="Стиль Маркированный список 2"/>
    <w:basedOn w:val="27"/>
    <w:qFormat/>
    <w:pPr>
      <w:widowControl w:val="false"/>
      <w:numPr>
        <w:ilvl w:val="0"/>
        <w:numId w:val="0"/>
      </w:numPr>
      <w:tabs>
        <w:tab w:val="clear" w:pos="709"/>
        <w:tab w:val="right" w:pos="9639" w:leader="dot"/>
      </w:tabs>
      <w:spacing w:lineRule="auto" w:line="264" w:before="0" w:after="0"/>
      <w:contextualSpacing w:val="false"/>
      <w:jc w:val="both"/>
    </w:pPr>
    <w:rPr>
      <w:b/>
      <w:sz w:val="26"/>
      <w:szCs w:val="26"/>
    </w:rPr>
  </w:style>
  <w:style w:type="paragraph" w:styleId="27">
    <w:name w:val="Маркированный список 2"/>
    <w:basedOn w:val="Normal"/>
    <w:unhideWhenUsed/>
    <w:qFormat/>
    <w:pPr>
      <w:numPr>
        <w:ilvl w:val="0"/>
        <w:numId w:val="8"/>
      </w:numPr>
      <w:spacing w:before="0" w:after="0"/>
      <w:contextualSpacing/>
    </w:pPr>
    <w:rPr/>
  </w:style>
  <w:style w:type="paragraph" w:styleId="Normal1">
    <w:name w:val="Normal1"/>
    <w:qFormat/>
    <w:pPr>
      <w:widowControl/>
      <w:suppressAutoHyphens w:val="true"/>
      <w:bidi w:val="0"/>
      <w:spacing w:before="0" w:after="0"/>
      <w:jc w:val="left"/>
    </w:pPr>
    <w:rPr>
      <w:rFonts w:ascii="Arial" w:hAnsi="Arial" w:eastAsia="Tahoma" w:cs="Noto Sans"/>
      <w:color w:val="auto"/>
      <w:spacing w:val="20"/>
      <w:kern w:val="0"/>
      <w:sz w:val="22"/>
      <w:szCs w:val="20"/>
      <w:lang w:val="ru-RU" w:eastAsia="ru-RU" w:bidi="ar-SA"/>
    </w:rPr>
  </w:style>
  <w:style w:type="paragraph" w:styleId="Style58">
    <w:name w:val="Заг. Таблицы"/>
    <w:basedOn w:val="Normal"/>
    <w:qFormat/>
    <w:pPr>
      <w:keepNext w:val="true"/>
      <w:spacing w:before="20" w:after="20"/>
      <w:jc w:val="center"/>
    </w:pPr>
    <w:rPr>
      <w:b/>
      <w:sz w:val="20"/>
    </w:rPr>
  </w:style>
  <w:style w:type="paragraph" w:styleId="Style59">
    <w:name w:val="сод.табл слева"/>
    <w:basedOn w:val="Normal"/>
    <w:qFormat/>
    <w:pPr>
      <w:keepNext w:val="true"/>
      <w:spacing w:before="20" w:after="20"/>
    </w:pPr>
    <w:rPr/>
  </w:style>
  <w:style w:type="paragraph" w:styleId="Style60">
    <w:name w:val="Табл. Номер"/>
    <w:basedOn w:val="Style65"/>
    <w:qFormat/>
    <w:pPr>
      <w:keepNext w:val="true"/>
      <w:spacing w:lineRule="auto" w:line="264"/>
      <w:jc w:val="both"/>
    </w:pPr>
    <w:rPr>
      <w:b w:val="false"/>
      <w:sz w:val="24"/>
      <w:szCs w:val="24"/>
      <w:lang w:val="ru-RU" w:eastAsia="ru-RU"/>
    </w:rPr>
  </w:style>
  <w:style w:type="paragraph" w:styleId="Style61">
    <w:name w:val="сод.табл примечание"/>
    <w:basedOn w:val="Style59"/>
    <w:qFormat/>
    <w:pPr>
      <w:spacing w:before="60" w:after="60"/>
    </w:pPr>
    <w:rPr>
      <w:b/>
    </w:rPr>
  </w:style>
  <w:style w:type="paragraph" w:styleId="Style62">
    <w:name w:val="сод.табл по центру"/>
    <w:basedOn w:val="Style59"/>
    <w:qFormat/>
    <w:pPr>
      <w:jc w:val="center"/>
    </w:pPr>
    <w:rPr>
      <w:color w:val="000000"/>
      <w:szCs w:val="20"/>
    </w:rPr>
  </w:style>
  <w:style w:type="paragraph" w:styleId="Style63">
    <w:name w:val="Заголовок таблицы"/>
    <w:qFormat/>
    <w:pPr>
      <w:keepNext w:val="true"/>
      <w:widowControl/>
      <w:suppressAutoHyphens w:val="true"/>
      <w:bidi w:val="0"/>
      <w:spacing w:before="40" w:after="40"/>
      <w:jc w:val="center"/>
    </w:pPr>
    <w:rPr>
      <w:rFonts w:ascii="Times New Roman" w:hAnsi="Times New Roman" w:eastAsia="Tahoma" w:cs="Noto Sans"/>
      <w:b/>
      <w:color w:val="auto"/>
      <w:kern w:val="0"/>
      <w:sz w:val="20"/>
      <w:szCs w:val="20"/>
      <w:lang w:val="ru-RU" w:eastAsia="ru-RU" w:bidi="ar-SA"/>
    </w:rPr>
  </w:style>
  <w:style w:type="paragraph" w:styleId="Style64">
    <w:name w:val="сод.табл содерж. примечания"/>
    <w:basedOn w:val="Style61"/>
    <w:qFormat/>
    <w:pPr>
      <w:spacing w:before="0" w:after="0"/>
    </w:pPr>
    <w:rPr>
      <w:b w:val="false"/>
    </w:rPr>
  </w:style>
  <w:style w:type="paragraph" w:styleId="Style65">
    <w:name w:val="Название объекта"/>
    <w:basedOn w:val="Normal"/>
    <w:next w:val="Normal"/>
    <w:qFormat/>
    <w:pPr/>
    <w:rPr>
      <w:b/>
      <w:bCs/>
      <w:sz w:val="20"/>
      <w:szCs w:val="20"/>
      <w:lang w:val="en-GB" w:eastAsia="en-US"/>
    </w:rPr>
  </w:style>
  <w:style w:type="paragraph" w:styleId="28">
    <w:name w:val="Стиль Стиль Маркированный список 2 + Зеленый + Авто"/>
    <w:basedOn w:val="26"/>
    <w:qFormat/>
    <w:pPr>
      <w:widowControl/>
      <w:numPr>
        <w:ilvl w:val="0"/>
        <w:numId w:val="9"/>
      </w:numPr>
      <w:tabs>
        <w:tab w:val="left" w:pos="1077" w:leader="none"/>
        <w:tab w:val="right" w:pos="9639" w:leader="dot"/>
      </w:tabs>
      <w:spacing w:lineRule="auto" w:line="240"/>
    </w:pPr>
    <w:rPr>
      <w:sz w:val="24"/>
    </w:rPr>
  </w:style>
  <w:style w:type="paragraph" w:styleId="91">
    <w:name w:val="сод.табл по центру 9"/>
    <w:basedOn w:val="Normal"/>
    <w:qFormat/>
    <w:pPr>
      <w:keepNext w:val="true"/>
      <w:spacing w:before="20" w:after="20"/>
      <w:jc w:val="center"/>
    </w:pPr>
    <w:rPr>
      <w:sz w:val="18"/>
      <w:szCs w:val="20"/>
    </w:rPr>
  </w:style>
  <w:style w:type="paragraph" w:styleId="Style66">
    <w:name w:val="Сод. табл по центру"/>
    <w:basedOn w:val="Style59"/>
    <w:qFormat/>
    <w:pPr>
      <w:jc w:val="center"/>
    </w:pPr>
    <w:rPr/>
  </w:style>
  <w:style w:type="paragraph" w:styleId="Style67">
    <w:name w:val="Табл. Название"/>
    <w:basedOn w:val="Normal"/>
    <w:link w:val="Style30"/>
    <w:qFormat/>
    <w:pPr>
      <w:keepNext w:val="true"/>
      <w:spacing w:before="240" w:after="120"/>
    </w:pPr>
    <w:rPr>
      <w:b/>
      <w:sz w:val="20"/>
      <w:lang w:val="en-US" w:eastAsia="en-US"/>
    </w:rPr>
  </w:style>
  <w:style w:type="paragraph" w:styleId="81">
    <w:name w:val="сод.табл слева 8"/>
    <w:basedOn w:val="Normal"/>
    <w:qFormat/>
    <w:pPr>
      <w:keepNext w:val="true"/>
      <w:spacing w:before="20" w:after="20"/>
    </w:pPr>
    <w:rPr>
      <w:sz w:val="16"/>
      <w:szCs w:val="18"/>
    </w:rPr>
  </w:style>
  <w:style w:type="paragraph" w:styleId="Style68">
    <w:name w:val="Осн. надп.Разработал"/>
    <w:basedOn w:val="Normal"/>
    <w:qFormat/>
    <w:pPr/>
    <w:rPr>
      <w:i/>
      <w:sz w:val="20"/>
      <w:szCs w:val="20"/>
    </w:rPr>
  </w:style>
  <w:style w:type="paragraph" w:styleId="Pa2">
    <w:name w:val="Pa2"/>
    <w:basedOn w:val="Default"/>
    <w:next w:val="Default"/>
    <w:uiPriority w:val="99"/>
    <w:qFormat/>
    <w:pPr>
      <w:spacing w:lineRule="atLeast" w:line="201"/>
    </w:pPr>
    <w:rPr>
      <w:rFonts w:ascii="Arial Narrow" w:hAnsi="Arial Narrow" w:cs="Times New Roman"/>
      <w:color w:val="000000"/>
    </w:rPr>
  </w:style>
  <w:style w:type="paragraph" w:styleId="Pa4">
    <w:name w:val="Pa4"/>
    <w:basedOn w:val="Default"/>
    <w:next w:val="Default"/>
    <w:uiPriority w:val="99"/>
    <w:qFormat/>
    <w:pPr>
      <w:spacing w:lineRule="atLeast" w:line="201"/>
    </w:pPr>
    <w:rPr>
      <w:rFonts w:ascii="Arial Narrow" w:hAnsi="Arial Narrow" w:cs="Times New Roman"/>
      <w:color w:val="000000"/>
    </w:rPr>
  </w:style>
  <w:style w:type="paragraph" w:styleId="Pa5">
    <w:name w:val="Pa5"/>
    <w:basedOn w:val="Default"/>
    <w:next w:val="Default"/>
    <w:uiPriority w:val="99"/>
    <w:qFormat/>
    <w:pPr>
      <w:spacing w:lineRule="atLeast" w:line="201"/>
    </w:pPr>
    <w:rPr>
      <w:rFonts w:ascii="Arial Narrow" w:hAnsi="Arial Narrow" w:cs="Times New Roman"/>
      <w:color w:val="000000"/>
    </w:rPr>
  </w:style>
  <w:style w:type="paragraph" w:styleId="Pa14">
    <w:name w:val="Pa14"/>
    <w:basedOn w:val="Default"/>
    <w:next w:val="Default"/>
    <w:uiPriority w:val="99"/>
    <w:qFormat/>
    <w:pPr>
      <w:spacing w:lineRule="atLeast" w:line="201"/>
    </w:pPr>
    <w:rPr>
      <w:rFonts w:ascii="OfficinaSansC" w:hAnsi="OfficinaSansC" w:eastAsia="Calibri" w:cs="Times New Roman"/>
      <w:color w:val="000000"/>
    </w:rPr>
  </w:style>
  <w:style w:type="paragraph" w:styleId="tehnormatitle">
    <w:name w:val="tehnormatitle"/>
    <w:basedOn w:val="Normal"/>
    <w:qFormat/>
    <w:pPr>
      <w:spacing w:beforeAutospacing="1" w:afterAutospacing="1"/>
    </w:pPr>
    <w:rPr/>
  </w:style>
  <w:style w:type="paragraph" w:styleId="29">
    <w:name w:val="Основной текст2"/>
    <w:basedOn w:val="Normal"/>
    <w:link w:val="Style31"/>
    <w:qFormat/>
    <w:pPr>
      <w:shd w:val="clear" w:color="auto" w:fill="FFFFFF"/>
      <w:spacing w:lineRule="exact" w:line="293"/>
      <w:jc w:val="both"/>
    </w:pPr>
    <w:rPr>
      <w:spacing w:val="2"/>
      <w:sz w:val="20"/>
      <w:szCs w:val="20"/>
      <w:lang w:val="en-US" w:eastAsia="en-US"/>
    </w:rPr>
  </w:style>
  <w:style w:type="paragraph" w:styleId="210">
    <w:name w:val="Таблица2"/>
    <w:basedOn w:val="Normal"/>
    <w:qFormat/>
    <w:pPr>
      <w:tabs>
        <w:tab w:val="clear" w:pos="709"/>
        <w:tab w:val="right" w:pos="10064" w:leader="none"/>
      </w:tabs>
      <w:spacing w:before="0" w:after="0"/>
      <w:contextualSpacing/>
      <w:jc w:val="center"/>
    </w:pPr>
    <w:rPr>
      <w:sz w:val="28"/>
      <w:szCs w:val="20"/>
    </w:rPr>
  </w:style>
  <w:style w:type="paragraph" w:styleId="38">
    <w:name w:val="3_Основной текст"/>
    <w:basedOn w:val="Normal"/>
    <w:link w:val="34"/>
    <w:qFormat/>
    <w:pPr>
      <w:widowControl w:val="false"/>
      <w:ind w:firstLine="567"/>
      <w:jc w:val="both"/>
    </w:pPr>
    <w:rPr>
      <w:sz w:val="28"/>
      <w:szCs w:val="20"/>
    </w:rPr>
  </w:style>
  <w:style w:type="paragraph" w:styleId="Style69">
    <w:name w:val="Без интервала"/>
    <w:link w:val="Style32"/>
    <w:uiPriority w:val="1"/>
    <w:qFormat/>
    <w:pPr>
      <w:widowControl/>
      <w:suppressAutoHyphens w:val="true"/>
      <w:bidi w:val="0"/>
      <w:spacing w:before="0" w:after="0"/>
      <w:jc w:val="left"/>
    </w:pPr>
    <w:rPr>
      <w:rFonts w:ascii="Calibri" w:hAnsi="Calibri" w:eastAsia="Tahoma" w:cs="Noto Sans"/>
      <w:color w:val="auto"/>
      <w:kern w:val="0"/>
      <w:sz w:val="22"/>
      <w:szCs w:val="22"/>
      <w:lang w:val="ru-RU" w:eastAsia="ru-RU" w:bidi="ar-SA"/>
    </w:rPr>
  </w:style>
  <w:style w:type="paragraph" w:styleId="Style70">
    <w:name w:val="ГПП Основной текст"/>
    <w:basedOn w:val="BodyText"/>
    <w:link w:val="Style33"/>
    <w:qFormat/>
    <w:pPr>
      <w:widowControl w:val="false"/>
      <w:spacing w:lineRule="auto" w:line="228"/>
      <w:ind w:firstLine="567" w:left="170" w:right="170"/>
      <w:jc w:val="both"/>
    </w:pPr>
    <w:rPr>
      <w:sz w:val="24"/>
      <w:szCs w:val="24"/>
      <w:lang w:eastAsia="en-US"/>
    </w:rPr>
  </w:style>
  <w:style w:type="paragraph" w:styleId="Style71">
    <w:name w:val="Подзаголовок (титульная)"/>
    <w:basedOn w:val="Normal"/>
    <w:next w:val="Normal"/>
    <w:qFormat/>
    <w:pPr>
      <w:spacing w:lineRule="auto" w:line="360"/>
      <w:jc w:val="center"/>
    </w:pPr>
    <w:rPr>
      <w:b/>
      <w:sz w:val="28"/>
    </w:rPr>
  </w:style>
  <w:style w:type="paragraph" w:styleId="user6">
    <w:name w:val="Текст (user)"/>
    <w:basedOn w:val="Caption"/>
    <w:qFormat/>
    <w:pPr/>
    <w:rPr/>
  </w:style>
  <w:style w:type="numbering" w:styleId="Style72">
    <w:name w:val="Нет списка"/>
    <w:uiPriority w:val="99"/>
    <w:semiHidden/>
    <w:unhideWhenUsed/>
    <w:qFormat/>
  </w:style>
  <w:style w:type="numbering" w:styleId="user7" w:default="1">
    <w:name w:val="Без списка (user)"/>
    <w:uiPriority w:val="99"/>
    <w:semiHidden/>
    <w:unhideWhenUsed/>
    <w:qFormat/>
  </w:style>
  <w:style w:type="table" w:styleId="854">
    <w:name w:val="Table Grid"/>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855">
    <w:name w:val="Table Grid Light"/>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56">
    <w:name w:val="Plain Table 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styleId="857">
    <w:name w:val="Plain Table 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styleId="858">
    <w:name w:val="Plain Table 3"/>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styleId="859">
    <w:name w:val="Plain Table 4"/>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firstCol">
      <w:rPr>
        <w:b/>
      </w:rPr>
      <w:tblPr/>
    </w:tblStylePr>
    <w:tblStylePr w:type="firstRow">
      <w:rPr>
        <w:b/>
      </w:rPr>
      <w:tblPr/>
    </w:tblStylePr>
    <w:tblStylePr w:type="lastCol">
      <w:rPr>
        <w:b/>
      </w:rPr>
      <w:tblPr/>
    </w:tblStylePr>
    <w:tblStylePr w:type="lastRow">
      <w:rPr>
        <w:b/>
      </w:rPr>
      <w:tblPr/>
    </w:tblStylePr>
  </w:style>
  <w:style w:type="table" w:styleId="860">
    <w:name w:val="Plain Table 5"/>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style>
  <w:style w:type="table" w:styleId="861">
    <w:name w:val="Grid Table 1 Light"/>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style>
  <w:style w:type="table" w:styleId="862">
    <w:name w:val="Grid Table 1 Light - Accent 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style>
  <w:style w:type="table" w:styleId="863">
    <w:name w:val="Grid Table 1 Light - Accent 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style>
  <w:style w:type="table" w:styleId="864">
    <w:name w:val="Grid Table 1 Light - Accent 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style>
  <w:style w:type="table" w:styleId="865">
    <w:name w:val="Grid Table 1 Light - Accent 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style>
  <w:style w:type="table" w:styleId="866">
    <w:name w:val="Grid Table 1 Light - Accent 5"/>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style>
  <w:style w:type="table" w:styleId="867">
    <w:name w:val="Grid Table 1 Light - Accent 6"/>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style>
  <w:style w:type="table" w:styleId="868">
    <w:name w:val="Grid Table 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869">
    <w:name w:val="Grid Table 2 - Accent 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AE5F1" w:themeFill="accent1" w:themeFillTint="34"/>
      </w:tcPr>
    </w:tblStylePr>
    <w:tblStylePr w:type="band1Vert">
      <w:rPr>
        <w:sz w:val="22"/>
      </w:rPr>
      <w:tblPr/>
      <w:tcPr>
        <w:shd w:val="clear" w:color="FFFFFF" w:fill="DAE5F1" w:themeFill="accen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870">
    <w:name w:val="Grid Table 2 - Accent 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2DCDB" w:themeFill="accent2" w:themeFillTint="32"/>
      </w:tcPr>
    </w:tblStylePr>
    <w:tblStylePr w:type="band1Vert">
      <w:rPr>
        <w:sz w:val="22"/>
      </w:rPr>
      <w:tblPr/>
      <w:tcPr>
        <w:shd w:val="clear" w:color="FFFFFF" w:fill="F2DCDB" w:themeFill="accent2" w:themeFillTint="32"/>
      </w:tc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871">
    <w:name w:val="Grid Table 2 - Accent 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AF0DD" w:themeFill="accent3" w:themeFillTint="34"/>
      </w:tcPr>
    </w:tblStylePr>
    <w:tblStylePr w:type="band1Vert">
      <w:rPr>
        <w:sz w:val="22"/>
      </w:rPr>
      <w:tblPr/>
      <w:tcPr>
        <w:shd w:val="clear" w:color="FFFFFF" w:fill="EAF0DD" w:themeFill="accent3"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872">
    <w:name w:val="Grid Table 2 - Accent 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873">
    <w:name w:val="Grid Table 2 - Accent 5"/>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874">
    <w:name w:val="Grid Table 2 - Accent 6"/>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9D8" w:themeFill="accent6" w:themeFillTint="34"/>
      </w:tcPr>
    </w:tblStylePr>
    <w:tblStylePr w:type="band1Vert">
      <w:rPr>
        <w:sz w:val="22"/>
      </w:rPr>
      <w:tblPr/>
      <w:tcPr>
        <w:shd w:val="clear" w:color="FFFFFF" w:fill="FDE9D8" w:themeFill="accent6"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875">
    <w:name w:val="Grid Table 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76">
    <w:name w:val="Grid Table 3 - Accent 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AE5F1" w:themeFill="accent1" w:themeFillTint="34"/>
      </w:tcPr>
    </w:tblStylePr>
    <w:tblStylePr w:type="band1Vert">
      <w:rPr>
        <w:sz w:val="22"/>
      </w:rPr>
      <w:tblPr/>
      <w:tcPr>
        <w:shd w:val="clear" w:color="FFFFFF" w:fill="DAE5F1" w:themeFill="accen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77">
    <w:name w:val="Grid Table 3 - Accent 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2DCDB" w:themeFill="accent2" w:themeFillTint="32"/>
      </w:tcPr>
    </w:tblStylePr>
    <w:tblStylePr w:type="band1Vert">
      <w:rPr>
        <w:sz w:val="22"/>
      </w:rPr>
      <w:tblPr/>
      <w:tcPr>
        <w:shd w:val="clear" w:color="FFFFFF" w:fill="F2DCDB" w:themeFill="accent2" w:themeFillTint="32"/>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78">
    <w:name w:val="Grid Table 3 - Accent 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AF0DD" w:themeFill="accent3" w:themeFillTint="34"/>
      </w:tcPr>
    </w:tblStylePr>
    <w:tblStylePr w:type="band1Vert">
      <w:rPr>
        <w:sz w:val="22"/>
      </w:rPr>
      <w:tblPr/>
      <w:tcPr>
        <w:shd w:val="clear" w:color="FFFFFF" w:fill="EAF0DD" w:themeFill="accent3"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79">
    <w:name w:val="Grid Table 3 - Accent 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80">
    <w:name w:val="Grid Table 3 - Accent 5"/>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81">
    <w:name w:val="Grid Table 3 - Accent 6"/>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9D8" w:themeFill="accent6" w:themeFillTint="34"/>
      </w:tcPr>
    </w:tblStylePr>
    <w:tblStylePr w:type="band1Vert">
      <w:rPr>
        <w:sz w:val="22"/>
      </w:rPr>
      <w:tblPr/>
      <w:tcPr>
        <w:shd w:val="clear" w:color="FFFFFF" w:fill="FDE9D8" w:themeFill="accent6"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82">
    <w:name w:val="Grid Table 4"/>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styleId="883">
    <w:name w:val="Grid Table 4 - Accent 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CE6F1" w:themeFill="accent1" w:themeFillTint="32"/>
      </w:tcPr>
    </w:tblStylePr>
    <w:tblStylePr w:type="band1Vert">
      <w:rPr>
        <w:sz w:val="22"/>
      </w:rPr>
      <w:tblPr/>
      <w:tcPr>
        <w:shd w:val="clear" w:color="FFFFFF" w:fill="DCE6F1" w:themeFill="accent1" w:themeFillTint="32"/>
      </w:tc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DC2" w:themeFill="accent1" w:themeFillTint="ea"/>
      </w:tcPr>
    </w:tblStylePr>
    <w:tblStylePr w:type="lastCol">
      <w:rPr>
        <w:b/>
      </w:rPr>
      <w:tblPr/>
    </w:tblStylePr>
    <w:tblStylePr w:type="lastRow">
      <w:rPr>
        <w:b/>
      </w:rPr>
      <w:tblPr/>
      <w:tcPr>
        <w:tcBorders>
          <w:top w:val="single" w:color="000000" w:themeColor="accent1" w:sz="4" w:space="0"/>
        </w:tcBorders>
      </w:tcPr>
    </w:tblStylePr>
  </w:style>
  <w:style w:type="table" w:styleId="884">
    <w:name w:val="Grid Table 4 - Accent 2"/>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2DCDB" w:themeFill="accent2" w:themeFillTint="32"/>
      </w:tcPr>
    </w:tblStylePr>
    <w:tblStylePr w:type="band1Vert">
      <w:rPr>
        <w:sz w:val="22"/>
      </w:rPr>
      <w:tblPr/>
      <w:tcPr>
        <w:shd w:val="clear" w:color="FFFFFF" w:fill="F2DCDB" w:themeFill="accent2" w:themeFillTint="32"/>
      </w:tc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99694" w:themeFill="accent2" w:themeFillTint="97"/>
      </w:tcPr>
    </w:tblStylePr>
    <w:tblStylePr w:type="lastCol">
      <w:rPr>
        <w:b/>
      </w:rPr>
      <w:tblPr/>
    </w:tblStylePr>
    <w:tblStylePr w:type="lastRow">
      <w:rPr>
        <w:b/>
      </w:rPr>
      <w:tblPr/>
      <w:tcPr>
        <w:tcBorders>
          <w:top w:val="single" w:color="000000" w:themeColor="accent2" w:sz="4" w:space="0"/>
        </w:tcBorders>
      </w:tcPr>
    </w:tblStylePr>
  </w:style>
  <w:style w:type="table" w:styleId="885">
    <w:name w:val="Grid Table 4 - Accent 3"/>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AF0DD" w:themeFill="accent3" w:themeFillTint="34"/>
      </w:tcPr>
    </w:tblStylePr>
    <w:tblStylePr w:type="band1Vert">
      <w:rPr>
        <w:sz w:val="22"/>
      </w:rPr>
      <w:tblPr/>
      <w:tcPr>
        <w:shd w:val="clear" w:color="FFFFFF" w:fill="EAF0DD" w:themeFill="accent3" w:themeFillTint="34"/>
      </w:tc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A59" w:themeFill="accent3" w:themeFillTint="fe"/>
      </w:tcPr>
    </w:tblStylePr>
    <w:tblStylePr w:type="lastCol">
      <w:rPr>
        <w:b/>
      </w:rPr>
      <w:tblPr/>
    </w:tblStylePr>
    <w:tblStylePr w:type="lastRow">
      <w:rPr>
        <w:b/>
      </w:rPr>
      <w:tblPr/>
      <w:tcPr>
        <w:tcBorders>
          <w:top w:val="single" w:color="000000" w:themeColor="accent3" w:sz="4" w:space="0"/>
        </w:tcBorders>
      </w:tcPr>
    </w:tblStylePr>
  </w:style>
  <w:style w:type="table" w:styleId="886">
    <w:name w:val="Grid Table 4 - Accent 4"/>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6" w:themeFill="accent4" w:themeFillTint="9a"/>
      </w:tcPr>
    </w:tblStylePr>
    <w:tblStylePr w:type="lastCol">
      <w:rPr>
        <w:b/>
      </w:rPr>
      <w:tblPr/>
    </w:tblStylePr>
    <w:tblStylePr w:type="lastRow">
      <w:rPr>
        <w:b/>
      </w:rPr>
      <w:tblPr/>
      <w:tcPr>
        <w:tcBorders>
          <w:top w:val="single" w:color="000000" w:themeColor="accent4" w:sz="4" w:space="0"/>
        </w:tcBorders>
      </w:tcPr>
    </w:tblStylePr>
  </w:style>
  <w:style w:type="table" w:styleId="887">
    <w:name w:val="Grid Table 4 - Accent 5"/>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rPr>
      <w:tblPr/>
    </w:tblStylePr>
    <w:tblStylePr w:type="lastRow">
      <w:rPr>
        <w:b/>
      </w:rPr>
      <w:tblPr/>
      <w:tcPr>
        <w:tcBorders>
          <w:top w:val="single" w:color="000000" w:themeColor="accent5" w:sz="4" w:space="0"/>
        </w:tcBorders>
      </w:tcPr>
    </w:tblStylePr>
  </w:style>
  <w:style w:type="table" w:styleId="888">
    <w:name w:val="Grid Table 4 - Accent 6"/>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FDE9D8" w:themeFill="accent6" w:themeFillTint="34"/>
      </w:tcPr>
    </w:tblStylePr>
    <w:tblStylePr w:type="band1Vert">
      <w:rPr>
        <w:sz w:val="22"/>
      </w:rPr>
      <w:tblPr/>
      <w:tcPr>
        <w:shd w:val="clear" w:color="FFFFFF" w:fill="FDE9D8" w:themeFill="accent6" w:themeFillTint="34"/>
      </w:tc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rPr>
      <w:tblPr/>
    </w:tblStylePr>
    <w:tblStylePr w:type="lastRow">
      <w:rPr>
        <w:b/>
      </w:rPr>
      <w:tblPr/>
      <w:tcPr>
        <w:tcBorders>
          <w:top w:val="single" w:color="000000" w:themeColor="accent6" w:sz="4" w:space="0"/>
        </w:tcBorders>
      </w:tcPr>
    </w:tblStylePr>
  </w:style>
  <w:style w:type="table" w:styleId="889">
    <w:name w:val="Grid Table 5 Dark"/>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style>
  <w:style w:type="table" w:styleId="890">
    <w:name w:val="Grid Table 5 Dark- Accent 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DC5E0" w:themeFill="accent1" w:themeFillTint="75"/>
      </w:tcPr>
    </w:tblStylePr>
    <w:tblStylePr w:type="band1Vert">
      <w:tblPr/>
      <w:tcPr>
        <w:shd w:val="clear" w:color="FFFFFF" w:fill="ADC5E0" w:themeFill="accent1" w:themeFillTint="75"/>
      </w:tcPr>
    </w:tblStylePr>
    <w:tblStylePr w:type="firstCol">
      <w:rPr>
        <w:b/>
        <w:sz w:val="22"/>
      </w:rPr>
      <w:tblPr/>
      <w:tcPr>
        <w:shd w:val="clear" w:color="FFFFFF" w:fill="4F81BD" w:themeFill="accent1"/>
      </w:tcPr>
    </w:tblStylePr>
    <w:tblStylePr w:type="firstRow">
      <w:rPr>
        <w:b/>
        <w:sz w:val="22"/>
      </w:rPr>
      <w:tblPr/>
      <w:tcPr>
        <w:shd w:val="clear" w:color="FFFFFF" w:fill="4F81BD" w:themeFill="accent1"/>
      </w:tcPr>
    </w:tblStylePr>
    <w:tblStylePr w:type="lastCol">
      <w:rPr>
        <w:b/>
        <w:sz w:val="22"/>
      </w:rPr>
      <w:tblPr/>
      <w:tcPr>
        <w:shd w:val="clear" w:color="FFFFFF" w:fill="4F81BD" w:themeFill="accent1"/>
      </w:tcPr>
    </w:tblStylePr>
    <w:tblStylePr w:type="lastRow">
      <w:rPr>
        <w:b/>
        <w:sz w:val="22"/>
      </w:rPr>
      <w:tblPr/>
      <w:tcPr>
        <w:tcBorders>
          <w:top w:val="single" w:color="000000" w:themeColor="light1" w:sz="4" w:space="0"/>
        </w:tcBorders>
        <w:shd w:val="clear" w:color="FFFFFF" w:fill="4F81BD" w:themeFill="accent1"/>
      </w:tcPr>
    </w:tblStylePr>
  </w:style>
  <w:style w:type="table" w:styleId="891">
    <w:name w:val="Grid Table 5 Dark - Accent 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1ADAC" w:themeFill="accent2" w:themeFillTint="75"/>
      </w:tcPr>
    </w:tblStylePr>
    <w:tblStylePr w:type="band1Vert">
      <w:tblPr/>
      <w:tcPr>
        <w:shd w:val="clear" w:color="FFFFFF" w:fill="E1ADAC" w:themeFill="accent2" w:themeFillTint="75"/>
      </w:tcPr>
    </w:tblStylePr>
    <w:tblStylePr w:type="firstCol">
      <w:rPr>
        <w:b/>
        <w:sz w:val="22"/>
      </w:rPr>
      <w:tblPr/>
      <w:tcPr>
        <w:shd w:val="clear" w:color="FFFFFF" w:fill="C0504D" w:themeFill="accent2"/>
      </w:tcPr>
    </w:tblStylePr>
    <w:tblStylePr w:type="firstRow">
      <w:rPr>
        <w:b/>
        <w:sz w:val="22"/>
      </w:rPr>
      <w:tblPr/>
      <w:tcPr>
        <w:shd w:val="clear" w:color="FFFFFF" w:fill="C0504D" w:themeFill="accent2"/>
      </w:tcPr>
    </w:tblStylePr>
    <w:tblStylePr w:type="lastCol">
      <w:rPr>
        <w:b/>
        <w:sz w:val="22"/>
      </w:rPr>
      <w:tblPr/>
      <w:tcPr>
        <w:shd w:val="clear" w:color="FFFFFF" w:fill="C0504D" w:themeFill="accent2"/>
      </w:tcPr>
    </w:tblStylePr>
    <w:tblStylePr w:type="lastRow">
      <w:rPr>
        <w:b/>
        <w:sz w:val="22"/>
      </w:rPr>
      <w:tblPr/>
      <w:tcPr>
        <w:tcBorders>
          <w:top w:val="single" w:color="000000" w:themeColor="light1" w:sz="4" w:space="0"/>
        </w:tcBorders>
        <w:shd w:val="clear" w:color="FFFFFF" w:fill="C0504D" w:themeFill="accent2"/>
      </w:tcPr>
    </w:tblStylePr>
  </w:style>
  <w:style w:type="table" w:styleId="892">
    <w:name w:val="Grid Table 5 Dark - Accent 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DFB2" w:themeFill="accent3" w:themeFillTint="75"/>
      </w:tcPr>
    </w:tblStylePr>
    <w:tblStylePr w:type="band1Vert">
      <w:tblPr/>
      <w:tcPr>
        <w:shd w:val="clear" w:color="FFFFFF" w:fill="D1DFB2" w:themeFill="accent3" w:themeFillTint="75"/>
      </w:tcPr>
    </w:tblStylePr>
    <w:tblStylePr w:type="firstCol">
      <w:rPr>
        <w:b/>
        <w:sz w:val="22"/>
      </w:rPr>
      <w:tblPr/>
      <w:tcPr>
        <w:shd w:val="clear" w:color="FFFFFF" w:fill="9BBB59" w:themeFill="accent3"/>
      </w:tcPr>
    </w:tblStylePr>
    <w:tblStylePr w:type="firstRow">
      <w:rPr>
        <w:b/>
        <w:sz w:val="22"/>
      </w:rPr>
      <w:tblPr/>
      <w:tcPr>
        <w:shd w:val="clear" w:color="FFFFFF" w:fill="9BBB59" w:themeFill="accent3"/>
      </w:tcPr>
    </w:tblStylePr>
    <w:tblStylePr w:type="lastCol">
      <w:rPr>
        <w:b/>
        <w:sz w:val="22"/>
      </w:rPr>
      <w:tblPr/>
      <w:tcPr>
        <w:shd w:val="clear" w:color="FFFFFF" w:fill="9BBB59" w:themeFill="accent3"/>
      </w:tcPr>
    </w:tblStylePr>
    <w:tblStylePr w:type="lastRow">
      <w:rPr>
        <w:b/>
        <w:sz w:val="22"/>
      </w:rPr>
      <w:tblPr/>
      <w:tcPr>
        <w:tcBorders>
          <w:top w:val="single" w:color="000000" w:themeColor="light1" w:sz="4" w:space="0"/>
        </w:tcBorders>
        <w:shd w:val="clear" w:color="FFFFFF" w:fill="9BBB59" w:themeFill="accent3"/>
      </w:tcPr>
    </w:tblStylePr>
  </w:style>
  <w:style w:type="table" w:styleId="893">
    <w:name w:val="Grid Table 5 Dark- Accent 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4B7D4" w:themeFill="accent4" w:themeFillTint="75"/>
      </w:tcPr>
    </w:tblStylePr>
    <w:tblStylePr w:type="band1Vert">
      <w:tblPr/>
      <w:tcPr>
        <w:shd w:val="clear" w:color="FFFFFF" w:fill="C4B7D4" w:themeFill="accent4" w:themeFillTint="75"/>
      </w:tcPr>
    </w:tblStylePr>
    <w:tblStylePr w:type="firstCol">
      <w:rPr>
        <w:b/>
        <w:sz w:val="22"/>
      </w:rPr>
      <w:tblPr/>
      <w:tcPr>
        <w:shd w:val="clear" w:color="FFFFFF" w:fill="8064A2" w:themeFill="accent4"/>
      </w:tcPr>
    </w:tblStylePr>
    <w:tblStylePr w:type="firstRow">
      <w:rPr>
        <w:b/>
        <w:sz w:val="22"/>
      </w:rPr>
      <w:tblPr/>
      <w:tcPr>
        <w:shd w:val="clear" w:color="FFFFFF" w:fill="8064A2" w:themeFill="accent4"/>
      </w:tcPr>
    </w:tblStylePr>
    <w:tblStylePr w:type="lastCol">
      <w:rPr>
        <w:b/>
        <w:sz w:val="22"/>
      </w:rPr>
      <w:tblPr/>
      <w:tcPr>
        <w:shd w:val="clear" w:color="FFFFFF" w:fill="8064A2" w:themeFill="accent4"/>
      </w:tcPr>
    </w:tblStylePr>
    <w:tblStylePr w:type="lastRow">
      <w:rPr>
        <w:b/>
        <w:sz w:val="22"/>
      </w:rPr>
      <w:tblPr/>
      <w:tcPr>
        <w:tcBorders>
          <w:top w:val="single" w:color="000000" w:themeColor="light1" w:sz="4" w:space="0"/>
        </w:tcBorders>
        <w:shd w:val="clear" w:color="FFFFFF" w:fill="8064A2" w:themeFill="accent4"/>
      </w:tcPr>
    </w:tblStylePr>
  </w:style>
  <w:style w:type="table" w:styleId="894">
    <w:name w:val="Grid Table 5 Dark - Accent 5"/>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BD9E4" w:themeFill="accent5" w:themeFillTint="75"/>
      </w:tcPr>
    </w:tblStylePr>
    <w:tblStylePr w:type="band1Vert">
      <w:tblPr/>
      <w:tcPr>
        <w:shd w:val="clear" w:color="FFFFFF" w:fill="ABD9E4" w:themeFill="accent5" w:themeFillTint="75"/>
      </w:tcPr>
    </w:tblStylePr>
    <w:tblStylePr w:type="firstCol">
      <w:rPr>
        <w:b/>
        <w:sz w:val="22"/>
      </w:rPr>
      <w:tblPr/>
      <w:tcPr>
        <w:shd w:val="clear" w:color="FFFFFF" w:fill="4BACC6" w:themeFill="accent5"/>
      </w:tcPr>
    </w:tblStylePr>
    <w:tblStylePr w:type="firstRow">
      <w:rPr>
        <w:b/>
        <w:sz w:val="22"/>
      </w:rPr>
      <w:tblPr/>
      <w:tcPr>
        <w:shd w:val="clear" w:color="FFFFFF" w:fill="4BACC6" w:themeFill="accent5"/>
      </w:tcPr>
    </w:tblStylePr>
    <w:tblStylePr w:type="lastCol">
      <w:rPr>
        <w:b/>
        <w:sz w:val="22"/>
      </w:rPr>
      <w:tblPr/>
      <w:tcPr>
        <w:shd w:val="clear" w:color="FFFFFF" w:fill="4BACC6" w:themeFill="accent5"/>
      </w:tcPr>
    </w:tblStylePr>
    <w:tblStylePr w:type="lastRow">
      <w:rPr>
        <w:b/>
        <w:sz w:val="22"/>
      </w:rPr>
      <w:tblPr/>
      <w:tcPr>
        <w:tcBorders>
          <w:top w:val="single" w:color="000000" w:themeColor="light1" w:sz="4" w:space="0"/>
        </w:tcBorders>
        <w:shd w:val="clear" w:color="FFFFFF" w:fill="4BACC6" w:themeFill="accent5"/>
      </w:tcPr>
    </w:tblStylePr>
  </w:style>
  <w:style w:type="table" w:styleId="895">
    <w:name w:val="Grid Table 5 Dark - Accent 6"/>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DA8" w:themeFill="accent6" w:themeFillTint="75"/>
      </w:tcPr>
    </w:tblStylePr>
    <w:tblStylePr w:type="band1Vert">
      <w:tblPr/>
      <w:tcPr>
        <w:shd w:val="clear" w:color="FFFFFF" w:fill="FBCDA8" w:themeFill="accent6" w:themeFillTint="75"/>
      </w:tcPr>
    </w:tblStylePr>
    <w:tblStylePr w:type="firstCol">
      <w:rPr>
        <w:b/>
        <w:sz w:val="22"/>
      </w:rPr>
      <w:tblPr/>
      <w:tcPr>
        <w:shd w:val="clear" w:color="FFFFFF" w:fill="F79646" w:themeFill="accent6"/>
      </w:tcPr>
    </w:tblStylePr>
    <w:tblStylePr w:type="firstRow">
      <w:rPr>
        <w:b/>
        <w:sz w:val="22"/>
      </w:rPr>
      <w:tblPr/>
      <w:tcPr>
        <w:shd w:val="clear" w:color="FFFFFF" w:fill="F79646" w:themeFill="accent6"/>
      </w:tcPr>
    </w:tblStylePr>
    <w:tblStylePr w:type="lastCol">
      <w:rPr>
        <w:b/>
        <w:sz w:val="22"/>
      </w:rPr>
      <w:tblPr/>
      <w:tcPr>
        <w:shd w:val="clear" w:color="FFFFFF" w:fill="F79646" w:themeFill="accent6"/>
      </w:tcPr>
    </w:tblStylePr>
    <w:tblStylePr w:type="lastRow">
      <w:rPr>
        <w:b/>
        <w:sz w:val="22"/>
      </w:rPr>
      <w:tblPr/>
      <w:tcPr>
        <w:tcBorders>
          <w:top w:val="single" w:color="000000" w:themeColor="light1" w:sz="4" w:space="0"/>
        </w:tcBorders>
        <w:shd w:val="clear" w:color="FFFFFF" w:fill="F79646" w:themeFill="accent6"/>
      </w:tcPr>
    </w:tblStylePr>
  </w:style>
  <w:style w:type="table" w:styleId="896">
    <w:name w:val="Grid Table 6 Colorful"/>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themeColor="text1" w:themeTint="80" w:themeShade="95"/>
        <w:sz w:val="22"/>
      </w:rPr>
      <w:tblPr/>
    </w:tblStylePr>
    <w:tblStylePr w:type="firstCol">
      <w:rPr>
        <w:b/>
        <w:color w:themeColor="text1" w:themeTint="80" w:themeShade="95"/>
      </w:rPr>
      <w:tblPr/>
    </w:tblStylePr>
    <w:tblStylePr w:type="firstRow">
      <w:rPr>
        <w:b/>
        <w:color w:themeColor="text1" w:themeTint="80" w:themeShade="95"/>
      </w:rPr>
      <w:tblPr/>
      <w:tcPr>
        <w:tcBorders>
          <w:bottom w:val="single" w:color="000000" w:themeColor="text1" w:sz="12" w:space="0"/>
        </w:tcBorders>
      </w:tcPr>
    </w:tblStylePr>
    <w:tblStylePr w:type="lastCol">
      <w:rPr>
        <w:b/>
        <w:color w:themeColor="text1" w:themeTint="80" w:themeShade="95"/>
      </w:rPr>
      <w:tblPr/>
    </w:tblStylePr>
    <w:tblStylePr w:type="lastRow">
      <w:rPr>
        <w:b/>
        <w:color w:themeColor="text1" w:themeTint="80" w:themeShade="95"/>
      </w:rPr>
      <w:tblPr/>
    </w:tblStylePr>
    <w:tblStylePr w:type="wholeTable">
      <w:rPr>
        <w:color w:themeColor="text1" w:themeTint="80" w:themeShade="95"/>
        <w:sz w:val="22"/>
      </w:rPr>
      <w:tblPr/>
    </w:tblStylePr>
  </w:style>
  <w:style w:type="table" w:styleId="897">
    <w:name w:val="Grid Table 6 Colorful - Accent 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themeColor="accent1" w:themeTint="80" w:themeShade="95"/>
        <w:sz w:val="22"/>
      </w:rPr>
      <w:tblPr/>
    </w:tblStylePr>
    <w:tblStylePr w:type="firstCol">
      <w:rPr>
        <w:b/>
        <w:color w:themeColor="accent1" w:themeTint="80" w:themeShade="95"/>
      </w:rPr>
      <w:tblPr/>
    </w:tblStylePr>
    <w:tblStylePr w:type="firstRow">
      <w:rPr>
        <w:b/>
        <w:color w:themeColor="accent1" w:themeTint="80" w:themeShade="95"/>
      </w:rPr>
      <w:tblPr/>
      <w:tcPr>
        <w:tcBorders>
          <w:bottom w:val="single" w:color="000000" w:themeColor="accent1" w:sz="12" w:space="0"/>
        </w:tcBorders>
      </w:tcPr>
    </w:tblStylePr>
    <w:tblStylePr w:type="lastCol">
      <w:rPr>
        <w:b/>
        <w:color w:themeColor="accent1" w:themeTint="80" w:themeShade="95"/>
      </w:rPr>
      <w:tblPr/>
    </w:tblStylePr>
    <w:tblStylePr w:type="lastRow">
      <w:rPr>
        <w:b/>
        <w:color w:themeColor="accent1" w:themeTint="80" w:themeShade="95"/>
      </w:rPr>
      <w:tblPr/>
    </w:tblStylePr>
    <w:tblStylePr w:type="wholeTable">
      <w:rPr>
        <w:color w:themeColor="accent1" w:themeTint="80" w:themeShade="95"/>
        <w:sz w:val="22"/>
      </w:rPr>
      <w:tblPr/>
    </w:tblStylePr>
  </w:style>
  <w:style w:type="table" w:styleId="898">
    <w:name w:val="Grid Table 6 Colorful - Accent 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12" w:space="0"/>
        </w:tcBorders>
      </w:tcPr>
    </w:tblStylePr>
    <w:tblStylePr w:type="lastCol">
      <w:rPr>
        <w:b/>
        <w:color w:themeColor="accent2" w:themeTint="97" w:themeShade="95"/>
      </w:rPr>
      <w:tblPr/>
    </w:tblStylePr>
    <w:tblStylePr w:type="lastRow">
      <w:rPr>
        <w:b/>
        <w:color w:themeColor="accent2" w:themeTint="97" w:themeShade="95"/>
      </w:rPr>
      <w:tblPr/>
    </w:tblStylePr>
    <w:tblStylePr w:type="wholeTable">
      <w:rPr>
        <w:color w:themeColor="accent2" w:themeTint="97" w:themeShade="95"/>
        <w:sz w:val="22"/>
      </w:rPr>
      <w:tblPr/>
    </w:tblStylePr>
  </w:style>
  <w:style w:type="table" w:styleId="899">
    <w:name w:val="Grid Table 6 Colorful - Accent 3"/>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themeColor="accent3" w:themeTint="fe" w:themeShade="95"/>
        <w:sz w:val="22"/>
      </w:rPr>
      <w:tblPr/>
    </w:tblStylePr>
    <w:tblStylePr w:type="firstCol">
      <w:rPr>
        <w:b/>
        <w:color w:themeColor="accent3" w:themeTint="fe" w:themeShade="95"/>
      </w:rPr>
      <w:tblPr/>
    </w:tblStylePr>
    <w:tblStylePr w:type="firstRow">
      <w:rPr>
        <w:b/>
        <w:color w:themeColor="accent3" w:themeTint="fe" w:themeShade="95"/>
      </w:rPr>
      <w:tblPr/>
      <w:tcPr>
        <w:tcBorders>
          <w:bottom w:val="single" w:color="000000" w:themeColor="accent3" w:sz="12" w:space="0"/>
        </w:tcBorders>
      </w:tcPr>
    </w:tblStylePr>
    <w:tblStylePr w:type="lastCol">
      <w:rPr>
        <w:b/>
        <w:color w:themeColor="accent3" w:themeTint="fe" w:themeShade="95"/>
      </w:rPr>
      <w:tblPr/>
    </w:tblStylePr>
    <w:tblStylePr w:type="lastRow">
      <w:rPr>
        <w:b/>
        <w:color w:themeColor="accent3" w:themeTint="fe" w:themeShade="95"/>
      </w:rPr>
      <w:tblPr/>
    </w:tblStylePr>
    <w:tblStylePr w:type="wholeTable">
      <w:rPr>
        <w:color w:themeColor="accent3" w:themeTint="fe" w:themeShade="95"/>
        <w:sz w:val="22"/>
      </w:rPr>
      <w:tblPr/>
    </w:tblStylePr>
  </w:style>
  <w:style w:type="table" w:styleId="900">
    <w:name w:val="Grid Table 6 Colorful - Accent 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12" w:space="0"/>
        </w:tcBorders>
      </w:tcPr>
    </w:tblStylePr>
    <w:tblStylePr w:type="lastCol">
      <w:rPr>
        <w:b/>
        <w:color w:themeColor="accent4" w:themeTint="9a" w:themeShade="95"/>
      </w:rPr>
      <w:tblPr/>
    </w:tblStylePr>
    <w:tblStylePr w:type="lastRow">
      <w:rPr>
        <w:b/>
        <w:color w:themeColor="accent4" w:themeTint="9a" w:themeShade="95"/>
      </w:rPr>
      <w:tblPr/>
    </w:tblStylePr>
    <w:tblStylePr w:type="wholeTable">
      <w:rPr>
        <w:color w:themeColor="accent4" w:themeTint="9a" w:themeShade="95"/>
        <w:sz w:val="22"/>
      </w:rPr>
      <w:tblPr/>
    </w:tblStylePr>
  </w:style>
  <w:style w:type="table" w:styleId="901">
    <w:name w:val="Grid Table 6 Colorful - Accent 5"/>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000000" w:themeColor="accent5" w:sz="12" w:space="0"/>
        </w:tcBorders>
      </w:tcPr>
    </w:tblStylePr>
    <w:tblStylePr w:type="lastCol">
      <w:rPr>
        <w:b/>
        <w:color w:themeColor="accent5" w:themeShade="95"/>
      </w:rPr>
      <w:tblPr/>
    </w:tblStylePr>
    <w:tblStylePr w:type="lastRow">
      <w:rPr>
        <w:b/>
        <w:color w:themeColor="accent5" w:themeShade="95"/>
      </w:rPr>
      <w:tblPr/>
    </w:tblStylePr>
    <w:tblStylePr w:type="wholeTable">
      <w:rPr>
        <w:color w:themeColor="accent5" w:themeShade="95"/>
        <w:sz w:val="22"/>
      </w:rPr>
      <w:tblPr/>
    </w:tblStylePr>
  </w:style>
  <w:style w:type="table" w:styleId="902">
    <w:name w:val="Grid Table 6 Colorful - Accent 6"/>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themeColor="accent5"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000000" w:themeColor="accent6" w:sz="12" w:space="0"/>
        </w:tcBorders>
      </w:tcPr>
    </w:tblStylePr>
    <w:tblStylePr w:type="lastCol">
      <w:rPr>
        <w:b/>
        <w:color w:themeColor="accent5" w:themeShade="95"/>
      </w:rPr>
      <w:tblPr/>
    </w:tblStylePr>
    <w:tblStylePr w:type="lastRow">
      <w:rPr>
        <w:b/>
        <w:color w:themeColor="accent5" w:themeShade="95"/>
      </w:rPr>
      <w:tblPr/>
    </w:tblStylePr>
    <w:tblStylePr w:type="wholeTable">
      <w:rPr>
        <w:color w:themeColor="accent5" w:themeShade="95"/>
        <w:sz w:val="22"/>
      </w:rPr>
      <w:tblPr/>
    </w:tblStylePr>
  </w:style>
  <w:style w:type="table" w:styleId="903">
    <w:name w:val="Grid Table 7 Colorful"/>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904">
    <w:name w:val="Grid Table 7 Colorful - Accent 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themeColor="accent1" w:themeTint="80" w:themeShade="95"/>
        <w:sz w:val="22"/>
      </w:rPr>
      <w:tbl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style>
  <w:style w:type="table" w:styleId="905">
    <w:name w:val="Grid Table 7 Colorful - Accent 2"/>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style>
  <w:style w:type="table" w:styleId="906">
    <w:name w:val="Grid Table 7 Colorful - Accent 3"/>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themeColor="accent3" w:themeTint="fe" w:themeShade="95"/>
        <w:sz w:val="22"/>
      </w:rPr>
      <w:tbl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style>
  <w:style w:type="table" w:styleId="907">
    <w:name w:val="Grid Table 7 Colorful - Accent 4"/>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style>
  <w:style w:type="table" w:styleId="908">
    <w:name w:val="Grid Table 7 Colorful - Accent 5"/>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themeColor="accent5" w:themeShade="95"/>
        <w:sz w:val="22"/>
      </w:rPr>
      <w:tbl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style>
  <w:style w:type="table" w:styleId="909">
    <w:name w:val="Grid Table 7 Colorful - Accent 6"/>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themeColor="accent6"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themeColor="accent6" w:themeShade="95"/>
        <w:sz w:val="22"/>
      </w:rPr>
      <w:tbl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style>
  <w:style w:type="table" w:styleId="910">
    <w:name w:val="List Table 1 Light"/>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styleId="911">
    <w:name w:val="List Table 1 Light - Accent 1"/>
    <w:uiPriority w:val="99"/>
    <w:pPr>
      <w:spacing w:after="0" w:line="240" w:lineRule="auto"/>
    </w:pPr>
    <w:tblPr>
      <w:tblStyleRowBandSize w:val="1"/>
      <w:tblStyleColBandSize w:val="1"/>
    </w:tblPr>
    <w:tblStylePr w:type="band1Horz">
      <w:tblPr/>
      <w:tcPr>
        <w:shd w:val="clear" w:color="FFFFFF" w:fill="D3E0EE" w:themeFill="accent1" w:themeFillTint="40"/>
      </w:tcPr>
    </w:tblStylePr>
    <w:tblStylePr w:type="band1Vert">
      <w:tblPr/>
      <w:tcPr>
        <w:shd w:val="clear" w:color="FFFFFF" w:fill="D3E0EE" w:themeFill="accen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style>
  <w:style w:type="table" w:styleId="912">
    <w:name w:val="List Table 1 Light - Accent 2"/>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style>
  <w:style w:type="table" w:styleId="913">
    <w:name w:val="List Table 1 Light - Accent 3"/>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style>
  <w:style w:type="table" w:styleId="914">
    <w:name w:val="List Table 1 Light - Accent 4"/>
    <w:uiPriority w:val="99"/>
    <w:pPr>
      <w:spacing w:after="0" w:line="240" w:lineRule="auto"/>
    </w:pPr>
    <w:tblPr>
      <w:tblStyleRowBandSize w:val="1"/>
      <w:tblStyleColBandSize w:val="1"/>
    </w:tblPr>
    <w:tblStylePr w:type="band1Horz">
      <w:tblPr/>
      <w:tcPr>
        <w:shd w:val="clear" w:color="FFFFFF" w:fill="DFD8E7" w:themeFill="accent4" w:themeFillTint="40"/>
      </w:tcPr>
    </w:tblStylePr>
    <w:tblStylePr w:type="band1Vert">
      <w:tblPr/>
      <w:tcPr>
        <w:shd w:val="clear" w:color="FFFFFF" w:fill="DFD8E7" w:themeFill="accent4"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style>
  <w:style w:type="table" w:styleId="915">
    <w:name w:val="List Table 1 Light - Accent 5"/>
    <w:uiPriority w:val="99"/>
    <w:pPr>
      <w:spacing w:after="0" w:line="240" w:lineRule="auto"/>
    </w:pPr>
    <w:tblPr>
      <w:tblStyleRowBandSize w:val="1"/>
      <w:tblStyleColBandSize w:val="1"/>
    </w:tblPr>
    <w:tblStylePr w:type="band1Horz">
      <w:tblPr/>
      <w:tcPr>
        <w:shd w:val="clear" w:color="FFFFFF" w:fill="D1EAF0" w:themeFill="accent5" w:themeFillTint="40"/>
      </w:tcPr>
    </w:tblStylePr>
    <w:tblStylePr w:type="band1Vert">
      <w:tblPr/>
      <w:tcPr>
        <w:shd w:val="clear" w:color="FFFFFF" w:fill="D1EAF0" w:themeFill="accent5"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style>
  <w:style w:type="table" w:styleId="916">
    <w:name w:val="List Table 1 Light - Accent 6"/>
    <w:uiPriority w:val="99"/>
    <w:pPr>
      <w:spacing w:after="0" w:line="240" w:lineRule="auto"/>
    </w:pPr>
    <w:tblPr>
      <w:tblStyleRowBandSize w:val="1"/>
      <w:tblStyleColBandSize w:val="1"/>
    </w:tblPr>
    <w:tblStylePr w:type="band1Horz">
      <w:tblPr/>
      <w:tcPr>
        <w:shd w:val="clear" w:color="FFFFFF" w:fill="FCE4D1" w:themeFill="accent6" w:themeFillTint="40"/>
      </w:tcPr>
    </w:tblStylePr>
    <w:tblStylePr w:type="band1Vert">
      <w:tblPr/>
      <w:tcPr>
        <w:shd w:val="clear" w:color="FFFFFF" w:fill="FCE4D1" w:themeFill="accent6"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style>
  <w:style w:type="table" w:styleId="917">
    <w:name w:val="List Table 2"/>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918">
    <w:name w:val="List Table 2 - Accent 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3E0EE" w:themeFill="accent1" w:themeFillTint="40"/>
      </w:tcPr>
    </w:tblStylePr>
    <w:tblStylePr w:type="band1Vert">
      <w:rPr>
        <w:sz w:val="22"/>
      </w:rPr>
      <w:tblPr/>
      <w:tcPr>
        <w:shd w:val="clear" w:color="FFFFFF" w:fill="D3E0EE" w:themeFill="accent1" w:themeFillTint="40"/>
      </w:tc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919">
    <w:name w:val="List Table 2 - Accent 2"/>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920">
    <w:name w:val="List Table 2 - Accent 3"/>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921">
    <w:name w:val="List Table 2 - Accent 4"/>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DFD8E7" w:themeFill="accent4" w:themeFillTint="40"/>
      </w:tcPr>
    </w:tblStylePr>
    <w:tblStylePr w:type="band1Vert">
      <w:rPr>
        <w:sz w:val="22"/>
      </w:rPr>
      <w:tblPr/>
      <w:tcPr>
        <w:shd w:val="clear" w:color="FFFFFF" w:fill="DFD8E7" w:themeFill="accent4" w:themeFillTint="40"/>
      </w:tc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922">
    <w:name w:val="List Table 2 - Accent 5"/>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1EAF0" w:themeFill="accent5" w:themeFillTint="40"/>
      </w:tcPr>
    </w:tblStylePr>
    <w:tblStylePr w:type="band1Vert">
      <w:rPr>
        <w:sz w:val="22"/>
      </w:rPr>
      <w:tblPr/>
      <w:tcPr>
        <w:shd w:val="clear" w:color="FFFFFF" w:fill="D1EAF0" w:themeFill="accent5" w:themeFillTint="40"/>
      </w:tc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923">
    <w:name w:val="List Table 2 - Accent 6"/>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FCE4D1" w:themeFill="accent6" w:themeFillTint="40"/>
      </w:tcPr>
    </w:tblStylePr>
    <w:tblStylePr w:type="band1Vert">
      <w:rPr>
        <w:sz w:val="22"/>
      </w:rPr>
      <w:tblPr/>
      <w:tcPr>
        <w:shd w:val="clear" w:color="FFFFFF" w:fill="FCE4D1" w:themeFill="accent6" w:themeFillTint="40"/>
      </w:tc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924">
    <w:name w:val="List Table 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styleId="925">
    <w:name w:val="List Table 3 - Accent 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style>
  <w:style w:type="table" w:styleId="926">
    <w:name w:val="List Table 3 - Accent 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firstCol">
      <w:rPr>
        <w:b/>
      </w:rPr>
      <w:tblPr/>
    </w:tblStylePr>
    <w:tblStylePr w:type="firstRow">
      <w:rPr>
        <w:b/>
        <w:sz w:val="22"/>
      </w:rPr>
      <w:tblPr/>
      <w:tcPr>
        <w:shd w:val="clear" w:color="FFFFFF" w:fill="D99694" w:themeFill="accent2" w:themeFillTint="97"/>
      </w:tcPr>
    </w:tblStylePr>
    <w:tblStylePr w:type="lastCol">
      <w:rPr>
        <w:b/>
      </w:rPr>
      <w:tblPr/>
    </w:tblStylePr>
    <w:tblStylePr w:type="lastRow">
      <w:rPr>
        <w:b/>
      </w:rPr>
      <w:tblPr/>
    </w:tblStylePr>
  </w:style>
  <w:style w:type="table" w:styleId="927">
    <w:name w:val="List Table 3 - Accent 3"/>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firstCol">
      <w:rPr>
        <w:b/>
      </w:rPr>
      <w:tblPr/>
    </w:tblStylePr>
    <w:tblStylePr w:type="firstRow">
      <w:rPr>
        <w:b/>
        <w:sz w:val="22"/>
      </w:rPr>
      <w:tblPr/>
      <w:tcPr>
        <w:shd w:val="clear" w:color="FFFFFF" w:fill="C3D69B" w:themeFill="accent3" w:themeFillTint="98"/>
      </w:tcPr>
    </w:tblStylePr>
    <w:tblStylePr w:type="lastCol">
      <w:rPr>
        <w:b/>
      </w:rPr>
      <w:tblPr/>
    </w:tblStylePr>
    <w:tblStylePr w:type="lastRow">
      <w:rPr>
        <w:b/>
      </w:rPr>
      <w:tblPr/>
    </w:tblStylePr>
  </w:style>
  <w:style w:type="table" w:styleId="928">
    <w:name w:val="List Table 3 - Accent 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firstCol">
      <w:rPr>
        <w:b/>
      </w:rPr>
      <w:tblPr/>
    </w:tblStylePr>
    <w:tblStylePr w:type="firstRow">
      <w:rPr>
        <w:b/>
        <w:sz w:val="22"/>
      </w:rPr>
      <w:tblPr/>
      <w:tcPr>
        <w:shd w:val="clear" w:color="FFFFFF" w:fill="B2A1C6" w:themeFill="accent4" w:themeFillTint="9a"/>
      </w:tcPr>
    </w:tblStylePr>
    <w:tblStylePr w:type="lastCol">
      <w:rPr>
        <w:b/>
      </w:rPr>
      <w:tblPr/>
    </w:tblStylePr>
    <w:tblStylePr w:type="lastRow">
      <w:rPr>
        <w:b/>
      </w:rPr>
      <w:tblPr/>
    </w:tblStylePr>
  </w:style>
  <w:style w:type="table" w:styleId="929">
    <w:name w:val="List Table 3 - Accent 5"/>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firstCol">
      <w:rPr>
        <w:b/>
      </w:rPr>
      <w:tblPr/>
    </w:tblStylePr>
    <w:tblStylePr w:type="firstRow">
      <w:rPr>
        <w:b/>
        <w:sz w:val="22"/>
      </w:rPr>
      <w:tblPr/>
      <w:tcPr>
        <w:shd w:val="clear" w:color="FFFFFF" w:fill="91CDDC" w:themeFill="accent5" w:themeFillTint="9a"/>
      </w:tcPr>
    </w:tblStylePr>
    <w:tblStylePr w:type="lastCol">
      <w:rPr>
        <w:b/>
      </w:rPr>
      <w:tblPr/>
    </w:tblStylePr>
    <w:tblStylePr w:type="lastRow">
      <w:rPr>
        <w:b/>
      </w:rPr>
      <w:tblPr/>
    </w:tblStylePr>
  </w:style>
  <w:style w:type="table" w:styleId="930">
    <w:name w:val="List Table 3 - Accent 6"/>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firstCol">
      <w:rPr>
        <w:b/>
      </w:rPr>
      <w:tblPr/>
    </w:tblStylePr>
    <w:tblStylePr w:type="firstRow">
      <w:rPr>
        <w:b/>
        <w:sz w:val="22"/>
      </w:rPr>
      <w:tblPr/>
      <w:tcPr>
        <w:shd w:val="clear" w:color="FFFFFF" w:fill="F9BF90" w:themeFill="accent6" w:themeFillTint="98"/>
      </w:tcPr>
    </w:tblStylePr>
    <w:tblStylePr w:type="lastCol">
      <w:rPr>
        <w:b/>
      </w:rPr>
      <w:tblPr/>
    </w:tblStylePr>
    <w:tblStylePr w:type="lastRow">
      <w:rPr>
        <w:b/>
      </w:rPr>
      <w:tblPr/>
    </w:tblStylePr>
  </w:style>
  <w:style w:type="table" w:styleId="931">
    <w:name w:val="List Table 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styleId="932">
    <w:name w:val="List Table 4 - Accent 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3E0EE" w:themeFill="accent1" w:themeFillTint="40"/>
      </w:tcPr>
    </w:tblStylePr>
    <w:tblStylePr w:type="band1Vert">
      <w:rPr>
        <w:sz w:val="22"/>
      </w:rPr>
      <w:tblPr/>
      <w:tcPr>
        <w:shd w:val="clear" w:color="FFFFFF" w:fill="D3E0EE" w:themeFill="accent1" w:themeFillTint="40"/>
      </w:tc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style>
  <w:style w:type="table" w:styleId="933">
    <w:name w:val="List Table 4 - Accent 2"/>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firstCol">
      <w:rPr>
        <w:b/>
      </w:rPr>
      <w:tblPr/>
    </w:tblStylePr>
    <w:tblStylePr w:type="firstRow">
      <w:rPr>
        <w:b/>
        <w:sz w:val="22"/>
      </w:rPr>
      <w:tblPr/>
      <w:tcPr>
        <w:shd w:val="clear" w:color="FFFFFF" w:fill="C0504D" w:themeFill="accent2"/>
      </w:tcPr>
    </w:tblStylePr>
    <w:tblStylePr w:type="lastCol">
      <w:rPr>
        <w:b/>
      </w:rPr>
      <w:tblPr/>
    </w:tblStylePr>
    <w:tblStylePr w:type="lastRow">
      <w:rPr>
        <w:b/>
      </w:rPr>
      <w:tblPr/>
    </w:tblStylePr>
  </w:style>
  <w:style w:type="table" w:styleId="934">
    <w:name w:val="List Table 4 - Accent 3"/>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firstCol">
      <w:rPr>
        <w:b/>
      </w:rPr>
      <w:tblPr/>
    </w:tblStylePr>
    <w:tblStylePr w:type="firstRow">
      <w:rPr>
        <w:b/>
        <w:sz w:val="22"/>
      </w:rPr>
      <w:tblPr/>
      <w:tcPr>
        <w:shd w:val="clear" w:color="FFFFFF" w:fill="9BBB59" w:themeFill="accent3"/>
      </w:tcPr>
    </w:tblStylePr>
    <w:tblStylePr w:type="lastCol">
      <w:rPr>
        <w:b/>
      </w:rPr>
      <w:tblPr/>
    </w:tblStylePr>
    <w:tblStylePr w:type="lastRow">
      <w:rPr>
        <w:b/>
      </w:rPr>
      <w:tblPr/>
    </w:tblStylePr>
  </w:style>
  <w:style w:type="table" w:styleId="935">
    <w:name w:val="List Table 4 - Accent 4"/>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DFD8E7" w:themeFill="accent4" w:themeFillTint="40"/>
      </w:tcPr>
    </w:tblStylePr>
    <w:tblStylePr w:type="band1Vert">
      <w:rPr>
        <w:sz w:val="22"/>
      </w:rPr>
      <w:tblPr/>
      <w:tcPr>
        <w:shd w:val="clear" w:color="FFFFFF" w:fill="DFD8E7" w:themeFill="accent4" w:themeFillTint="40"/>
      </w:tcPr>
    </w:tblStylePr>
    <w:tblStylePr w:type="firstCol">
      <w:rPr>
        <w:b/>
      </w:rPr>
      <w:tblPr/>
    </w:tblStylePr>
    <w:tblStylePr w:type="firstRow">
      <w:rPr>
        <w:b/>
        <w:sz w:val="22"/>
      </w:rPr>
      <w:tblPr/>
      <w:tcPr>
        <w:shd w:val="clear" w:color="FFFFFF" w:fill="8064A2" w:themeFill="accent4"/>
      </w:tcPr>
    </w:tblStylePr>
    <w:tblStylePr w:type="lastCol">
      <w:rPr>
        <w:b/>
      </w:rPr>
      <w:tblPr/>
    </w:tblStylePr>
    <w:tblStylePr w:type="lastRow">
      <w:rPr>
        <w:b/>
      </w:rPr>
      <w:tblPr/>
    </w:tblStylePr>
  </w:style>
  <w:style w:type="table" w:styleId="936">
    <w:name w:val="List Table 4 - Accent 5"/>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1EAF0" w:themeFill="accent5" w:themeFillTint="40"/>
      </w:tcPr>
    </w:tblStylePr>
    <w:tblStylePr w:type="band1Vert">
      <w:rPr>
        <w:sz w:val="22"/>
      </w:rPr>
      <w:tblPr/>
      <w:tcPr>
        <w:shd w:val="clear" w:color="FFFFFF" w:fill="D1EAF0" w:themeFill="accent5" w:themeFillTint="40"/>
      </w:tcPr>
    </w:tblStylePr>
    <w:tblStylePr w:type="firstCol">
      <w:rPr>
        <w:b/>
      </w:rPr>
      <w:tblPr/>
    </w:tblStylePr>
    <w:tblStylePr w:type="firstRow">
      <w:rPr>
        <w:b/>
        <w:sz w:val="22"/>
      </w:rPr>
      <w:tblPr/>
      <w:tcPr>
        <w:shd w:val="clear" w:color="FFFFFF" w:fill="4BACC6" w:themeFill="accent5"/>
      </w:tcPr>
    </w:tblStylePr>
    <w:tblStylePr w:type="lastCol">
      <w:rPr>
        <w:b/>
      </w:rPr>
      <w:tblPr/>
    </w:tblStylePr>
    <w:tblStylePr w:type="lastRow">
      <w:rPr>
        <w:b/>
      </w:rPr>
      <w:tblPr/>
    </w:tblStylePr>
  </w:style>
  <w:style w:type="table" w:styleId="937">
    <w:name w:val="List Table 4 - Accent 6"/>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FCE4D1" w:themeFill="accent6" w:themeFillTint="40"/>
      </w:tcPr>
    </w:tblStylePr>
    <w:tblStylePr w:type="band1Vert">
      <w:rPr>
        <w:sz w:val="22"/>
      </w:rPr>
      <w:tblPr/>
      <w:tcPr>
        <w:shd w:val="clear" w:color="FFFFFF" w:fill="FCE4D1" w:themeFill="accent6" w:themeFillTint="40"/>
      </w:tcPr>
    </w:tblStylePr>
    <w:tblStylePr w:type="firstCol">
      <w:rPr>
        <w:b/>
      </w:rPr>
      <w:tblPr/>
    </w:tblStylePr>
    <w:tblStylePr w:type="firstRow">
      <w:rPr>
        <w:b/>
        <w:sz w:val="22"/>
      </w:rPr>
      <w:tblPr/>
      <w:tcPr>
        <w:shd w:val="clear" w:color="FFFFFF" w:fill="F79646" w:themeFill="accent6"/>
      </w:tcPr>
    </w:tblStylePr>
    <w:tblStylePr w:type="lastCol">
      <w:rPr>
        <w:b/>
      </w:rPr>
      <w:tblPr/>
    </w:tblStylePr>
    <w:tblStylePr w:type="lastRow">
      <w:rPr>
        <w:b/>
      </w:rPr>
      <w:tblPr/>
    </w:tblStylePr>
  </w:style>
  <w:style w:type="table" w:styleId="938">
    <w:name w:val="List Table 5 Dark"/>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text1" w:sz="32" w:space="0"/>
          <w:right w:val="single" w:color="000000" w:themeColor="light1" w:sz="4" w:space="0"/>
        </w:tcBorders>
      </w:tcPr>
    </w:tblStylePr>
    <w:tblStylePr w:type="firstRow">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themeColor="light1"/>
        <w:sz w:val="22"/>
      </w:rPr>
      <w:tblPr/>
    </w:tblStylePr>
    <w:tblStylePr w:type="wholeTable">
      <w:rPr>
        <w:color w:themeColor="light1"/>
        <w:sz w:val="22"/>
      </w:rPr>
      <w:tblPr/>
    </w:tblStylePr>
  </w:style>
  <w:style w:type="table" w:styleId="939">
    <w:name w:val="List Table 5 Dark - Accent 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1" w:sz="32" w:space="0"/>
          <w:right w:val="single" w:color="000000" w:themeColor="light1" w:sz="4" w:space="0"/>
        </w:tcBorders>
      </w:tcPr>
    </w:tblStylePr>
    <w:tblStylePr w:type="firstRow">
      <w:rPr>
        <w:b/>
        <w:color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themeColor="light1"/>
        <w:sz w:val="22"/>
      </w:rPr>
      <w:tblPr/>
    </w:tblStylePr>
    <w:tblStylePr w:type="wholeTable">
      <w:rPr>
        <w:color w:themeColor="light1"/>
        <w:sz w:val="22"/>
      </w:rPr>
      <w:tblPr/>
    </w:tblStylePr>
  </w:style>
  <w:style w:type="table" w:styleId="940">
    <w:name w:val="List Table 5 Dark - Accent 2"/>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99694" w:themeFill="accent2" w:themeFillTint="97"/>
      </w:tcPr>
    </w:tblStylePr>
    <w:tblStylePr w:type="band1Vert">
      <w:tblPr/>
      <w:tcPr>
        <w:tcBorders>
          <w:left w:val="single" w:color="000000" w:themeColor="light1" w:sz="4" w:space="0"/>
          <w:right w:val="single" w:color="000000" w:themeColor="light1" w:sz="4" w:space="0"/>
        </w:tcBorders>
        <w:shd w:val="clear" w:color="FFFFFF" w:fill="D99694" w:themeFill="accent2" w:themeFillTint="97"/>
      </w:tcPr>
    </w:tblStylePr>
    <w:tblStylePr w:type="band2Horz">
      <w:tblPr/>
      <w:tcPr>
        <w:tcBorders>
          <w:top w:val="single" w:color="000000" w:themeColor="light1" w:sz="4" w:space="0"/>
          <w:bottom w:val="single" w:color="000000" w:themeColor="light1" w:sz="4" w:space="0"/>
        </w:tcBorders>
        <w:shd w:val="clear" w:color="FFFFFF" w:fill="D99694"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2" w:sz="32" w:space="0"/>
          <w:right w:val="single" w:color="000000" w:themeColor="light1" w:sz="4" w:space="0"/>
        </w:tcBorders>
      </w:tcPr>
    </w:tblStylePr>
    <w:tblStylePr w:type="firstRow">
      <w:rPr>
        <w:b/>
        <w:color w:themeColor="light1"/>
        <w:sz w:val="22"/>
      </w:rPr>
      <w:tblPr/>
      <w:tcPr>
        <w:tcBorders>
          <w:top w:val="single" w:color="000000" w:themeColor="accent2" w:sz="32" w:space="0"/>
          <w:bottom w:val="single" w:color="000000" w:themeColor="light1" w:sz="12" w:space="0"/>
        </w:tcBorders>
        <w:shd w:val="clear" w:color="FFFFFF" w:fill="D99694"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themeColor="light1"/>
        <w:sz w:val="22"/>
      </w:rPr>
      <w:tblPr/>
    </w:tblStylePr>
    <w:tblStylePr w:type="wholeTable">
      <w:rPr>
        <w:color w:themeColor="light1"/>
        <w:sz w:val="22"/>
      </w:rPr>
      <w:tblPr/>
    </w:tblStylePr>
  </w:style>
  <w:style w:type="table" w:styleId="941">
    <w:name w:val="List Table 5 Dark - Accent 3"/>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B" w:themeFill="accent3" w:themeFillTint="98"/>
      </w:tcPr>
    </w:tblStylePr>
    <w:tblStylePr w:type="band1Vert">
      <w:tblPr/>
      <w:tcPr>
        <w:tcBorders>
          <w:left w:val="single" w:color="000000" w:themeColor="light1" w:sz="4" w:space="0"/>
          <w:right w:val="single" w:color="000000" w:themeColor="light1" w:sz="4" w:space="0"/>
        </w:tcBorders>
        <w:shd w:val="clear" w:color="FFFFFF" w:fill="C3D69B" w:themeFill="accent3" w:themeFillTint="98"/>
      </w:tcPr>
    </w:tblStylePr>
    <w:tblStylePr w:type="band2Horz">
      <w:tblPr/>
      <w:tcPr>
        <w:tcBorders>
          <w:top w:val="single" w:color="000000" w:themeColor="light1" w:sz="4" w:space="0"/>
          <w:bottom w:val="single" w:color="000000" w:themeColor="light1" w:sz="4" w:space="0"/>
        </w:tcBorders>
        <w:shd w:val="clear" w:color="FFFFFF" w:fill="C3D69B"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3" w:sz="32" w:space="0"/>
          <w:right w:val="single" w:color="000000" w:themeColor="light1" w:sz="4" w:space="0"/>
        </w:tcBorders>
      </w:tcPr>
    </w:tblStylePr>
    <w:tblStylePr w:type="firstRow">
      <w:rPr>
        <w:b/>
        <w:color w:themeColor="light1"/>
        <w:sz w:val="22"/>
      </w:rPr>
      <w:tblPr/>
      <w:tcPr>
        <w:tcBorders>
          <w:top w:val="single" w:color="000000" w:themeColor="accent3" w:sz="32" w:space="0"/>
          <w:bottom w:val="single" w:color="000000" w:themeColor="light1" w:sz="12" w:space="0"/>
        </w:tcBorders>
        <w:shd w:val="clear" w:color="FFFFFF" w:fill="C3D69B"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themeColor="light1"/>
        <w:sz w:val="22"/>
      </w:rPr>
      <w:tblPr/>
    </w:tblStylePr>
    <w:tblStylePr w:type="wholeTable">
      <w:rPr>
        <w:color w:themeColor="light1"/>
        <w:sz w:val="22"/>
      </w:rPr>
      <w:tblPr/>
    </w:tblStylePr>
  </w:style>
  <w:style w:type="table" w:styleId="942">
    <w:name w:val="List Table 5 Dark - Accent 4"/>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6" w:themeFill="accent4" w:themeFillTint="9a"/>
      </w:tcPr>
    </w:tblStylePr>
    <w:tblStylePr w:type="band1Vert">
      <w:tblPr/>
      <w:tcPr>
        <w:tcBorders>
          <w:left w:val="single" w:color="000000" w:themeColor="light1" w:sz="4" w:space="0"/>
          <w:right w:val="single" w:color="000000" w:themeColor="light1" w:sz="4" w:space="0"/>
        </w:tcBorders>
        <w:shd w:val="clear" w:color="FFFFFF" w:fill="B2A1C6" w:themeFill="accent4" w:themeFillTint="9a"/>
      </w:tcPr>
    </w:tblStylePr>
    <w:tblStylePr w:type="band2Horz">
      <w:tblPr/>
      <w:tcPr>
        <w:tcBorders>
          <w:top w:val="single" w:color="000000" w:themeColor="light1" w:sz="4" w:space="0"/>
          <w:bottom w:val="single" w:color="000000" w:themeColor="light1" w:sz="4" w:space="0"/>
        </w:tcBorders>
        <w:shd w:val="clear" w:color="FFFFFF" w:fill="B2A1C6"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4" w:sz="32" w:space="0"/>
          <w:right w:val="single" w:color="000000" w:themeColor="light1" w:sz="4" w:space="0"/>
        </w:tcBorders>
      </w:tcPr>
    </w:tblStylePr>
    <w:tblStylePr w:type="firstRow">
      <w:rPr>
        <w:b/>
        <w:color w:themeColor="light1"/>
        <w:sz w:val="22"/>
      </w:rPr>
      <w:tblPr/>
      <w:tcPr>
        <w:tcBorders>
          <w:top w:val="single" w:color="000000" w:themeColor="accent4" w:sz="32" w:space="0"/>
          <w:bottom w:val="single" w:color="000000" w:themeColor="light1" w:sz="12" w:space="0"/>
        </w:tcBorders>
        <w:shd w:val="clear" w:color="FFFFFF" w:fill="B2A1C6"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themeColor="light1"/>
        <w:sz w:val="22"/>
      </w:rPr>
      <w:tblPr/>
    </w:tblStylePr>
    <w:tblStylePr w:type="wholeTable">
      <w:rPr>
        <w:color w:themeColor="light1"/>
        <w:sz w:val="22"/>
      </w:rPr>
      <w:tblPr/>
    </w:tblStylePr>
  </w:style>
  <w:style w:type="table" w:styleId="943">
    <w:name w:val="List Table 5 Dark - Accent 5"/>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1CDDC" w:themeFill="accent5" w:themeFillTint="9a"/>
      </w:tcPr>
    </w:tblStylePr>
    <w:tblStylePr w:type="band1Vert">
      <w:tblPr/>
      <w:tcPr>
        <w:tcBorders>
          <w:left w:val="single" w:color="000000" w:themeColor="light1" w:sz="4" w:space="0"/>
          <w:right w:val="single" w:color="000000" w:themeColor="light1" w:sz="4" w:space="0"/>
        </w:tcBorders>
        <w:shd w:val="clear" w:color="FFFFFF" w:fill="91CDDC" w:themeFill="accent5" w:themeFillTint="9a"/>
      </w:tcPr>
    </w:tblStylePr>
    <w:tblStylePr w:type="band2Horz">
      <w:tblPr/>
      <w:tcPr>
        <w:tcBorders>
          <w:top w:val="single" w:color="000000" w:themeColor="light1" w:sz="4" w:space="0"/>
          <w:bottom w:val="single" w:color="000000" w:themeColor="light1" w:sz="4" w:space="0"/>
        </w:tcBorders>
        <w:shd w:val="clear" w:color="FFFFFF" w:fill="91CDDC"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5" w:sz="32" w:space="0"/>
          <w:right w:val="single" w:color="000000" w:themeColor="light1" w:sz="4" w:space="0"/>
        </w:tcBorders>
      </w:tcPr>
    </w:tblStylePr>
    <w:tblStylePr w:type="firstRow">
      <w:rPr>
        <w:b/>
        <w:color w:themeColor="light1"/>
        <w:sz w:val="22"/>
      </w:rPr>
      <w:tblPr/>
      <w:tcPr>
        <w:tcBorders>
          <w:top w:val="single" w:color="000000" w:themeColor="accent5" w:sz="32" w:space="0"/>
          <w:bottom w:val="single" w:color="000000" w:themeColor="light1" w:sz="12" w:space="0"/>
        </w:tcBorders>
        <w:shd w:val="clear" w:color="FFFFFF" w:fill="91CDDC"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themeColor="light1"/>
        <w:sz w:val="22"/>
      </w:rPr>
      <w:tblPr/>
    </w:tblStylePr>
    <w:tblStylePr w:type="wholeTable">
      <w:rPr>
        <w:color w:themeColor="light1"/>
        <w:sz w:val="22"/>
      </w:rPr>
      <w:tblPr/>
    </w:tblStylePr>
  </w:style>
  <w:style w:type="table" w:styleId="944">
    <w:name w:val="List Table 5 Dark - Accent 6"/>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9BF90" w:themeFill="accent6" w:themeFillTint="98"/>
      </w:tcPr>
    </w:tblStylePr>
    <w:tblStylePr w:type="band1Vert">
      <w:tblPr/>
      <w:tcPr>
        <w:tcBorders>
          <w:left w:val="single" w:color="000000" w:themeColor="light1" w:sz="4" w:space="0"/>
          <w:right w:val="single" w:color="000000" w:themeColor="light1" w:sz="4" w:space="0"/>
        </w:tcBorders>
        <w:shd w:val="clear" w:color="FFFFFF" w:fill="F9BF90" w:themeFill="accent6" w:themeFillTint="98"/>
      </w:tcPr>
    </w:tblStylePr>
    <w:tblStylePr w:type="band2Horz">
      <w:tblPr/>
      <w:tcPr>
        <w:tcBorders>
          <w:top w:val="single" w:color="000000" w:themeColor="light1" w:sz="4" w:space="0"/>
          <w:bottom w:val="single" w:color="000000" w:themeColor="light1" w:sz="4" w:space="0"/>
        </w:tcBorders>
        <w:shd w:val="clear" w:color="FFFFFF" w:fill="F9BF90"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6" w:sz="32" w:space="0"/>
          <w:right w:val="single" w:color="000000" w:themeColor="light1" w:sz="4" w:space="0"/>
        </w:tcBorders>
      </w:tcPr>
    </w:tblStylePr>
    <w:tblStylePr w:type="firstRow">
      <w:rPr>
        <w:b/>
        <w:color w:themeColor="light1"/>
        <w:sz w:val="22"/>
      </w:rPr>
      <w:tblPr/>
      <w:tcPr>
        <w:tcBorders>
          <w:top w:val="single" w:color="000000" w:themeColor="accent6" w:sz="32" w:space="0"/>
          <w:bottom w:val="single" w:color="000000" w:themeColor="light1" w:sz="12" w:space="0"/>
        </w:tcBorders>
        <w:shd w:val="clear" w:color="FFFFFF" w:fill="F9BF90"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themeColor="light1"/>
        <w:sz w:val="22"/>
      </w:rPr>
      <w:tblPr/>
    </w:tblStylePr>
    <w:tblStylePr w:type="wholeTable">
      <w:rPr>
        <w:color w:themeColor="light1"/>
        <w:sz w:val="22"/>
      </w:rPr>
      <w:tblPr/>
    </w:tblStylePr>
  </w:style>
  <w:style w:type="table" w:styleId="945">
    <w:name w:val="List Table 6 Colorful"/>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sz w:val="22"/>
      </w:rPr>
      <w:tblPr/>
    </w:tblStylePr>
    <w:tblStylePr w:type="firstCol">
      <w:rPr>
        <w:b/>
        <w:color w:themeColor="text1"/>
      </w:rPr>
      <w:tblPr/>
    </w:tblStylePr>
    <w:tblStylePr w:type="firstRow">
      <w:rPr>
        <w:b/>
        <w:color w:themeColor="text1"/>
      </w:rPr>
      <w:tblPr/>
      <w:tcPr>
        <w:tcBorders>
          <w:bottom w:val="single" w:color="000000" w:themeColor="text1" w:sz="4" w:space="0"/>
        </w:tcBorders>
      </w:tcPr>
    </w:tblStylePr>
    <w:tblStylePr w:type="lastCol">
      <w:rPr>
        <w:b/>
        <w:color w:themeColor="text1"/>
      </w:rPr>
      <w:tblPr/>
    </w:tblStylePr>
    <w:tblStylePr w:type="lastRow">
      <w:rPr>
        <w:b/>
        <w:color w:themeColor="text1"/>
      </w:rPr>
      <w:tblPr/>
      <w:tcPr>
        <w:tcBorders>
          <w:top w:val="single" w:color="000000" w:themeColor="text1" w:sz="4" w:space="0"/>
        </w:tcBorders>
      </w:tcPr>
    </w:tblStylePr>
  </w:style>
  <w:style w:type="table" w:styleId="946">
    <w:name w:val="List Table 6 Colorful - Accent 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themeColor="accent1" w:themeShade="95"/>
        <w:sz w:val="22"/>
      </w:rPr>
      <w:tblPr/>
    </w:tblStylePr>
    <w:tblStylePr w:type="firstCol">
      <w:rPr>
        <w:b/>
        <w:color w:themeColor="accent1" w:themeShade="95"/>
      </w:rPr>
      <w:tblPr/>
    </w:tblStylePr>
    <w:tblStylePr w:type="firstRow">
      <w:rPr>
        <w:b/>
        <w:color w:themeColor="accent1" w:themeShade="95"/>
      </w:rPr>
      <w:tblPr/>
      <w:tcPr>
        <w:tcBorders>
          <w:bottom w:val="single" w:color="000000" w:themeColor="accent1" w:sz="4" w:space="0"/>
        </w:tcBorders>
      </w:tcPr>
    </w:tblStylePr>
    <w:tblStylePr w:type="lastCol">
      <w:rPr>
        <w:b/>
        <w:color w:themeColor="accent1" w:themeShade="95"/>
      </w:rPr>
      <w:tblPr/>
    </w:tblStylePr>
    <w:tblStylePr w:type="lastRow">
      <w:rPr>
        <w:b/>
        <w:color w:themeColor="accent1" w:themeShade="95"/>
      </w:rPr>
      <w:tblPr/>
      <w:tcPr>
        <w:tcBorders>
          <w:top w:val="single" w:color="000000" w:themeColor="accent1" w:sz="4" w:space="0"/>
        </w:tcBorders>
      </w:tcPr>
    </w:tblStylePr>
  </w:style>
  <w:style w:type="table" w:styleId="947">
    <w:name w:val="List Table 6 Colorful - Accent 2"/>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4" w:space="0"/>
        </w:tcBorders>
      </w:tcPr>
    </w:tblStylePr>
    <w:tblStylePr w:type="lastCol">
      <w:rPr>
        <w:b/>
        <w:color w:themeColor="accent2" w:themeTint="97" w:themeShade="95"/>
      </w:rPr>
      <w:tblPr/>
    </w:tblStylePr>
    <w:tblStylePr w:type="lastRow">
      <w:rPr>
        <w:b/>
        <w:color w:themeColor="accent2" w:themeTint="97" w:themeShade="95"/>
      </w:rPr>
      <w:tblPr/>
      <w:tcPr>
        <w:tcBorders>
          <w:top w:val="single" w:color="000000" w:themeColor="accent2" w:sz="4" w:space="0"/>
        </w:tcBorders>
      </w:tcPr>
    </w:tblStylePr>
  </w:style>
  <w:style w:type="table" w:styleId="948">
    <w:name w:val="List Table 6 Colorful - Accent 3"/>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themeColor="accent3" w:themeTint="98" w:themeShade="95"/>
        <w:sz w:val="22"/>
      </w:rPr>
      <w:tblPr/>
    </w:tblStylePr>
    <w:tblStylePr w:type="firstCol">
      <w:rPr>
        <w:b/>
        <w:color w:themeColor="accent3" w:themeTint="98" w:themeShade="95"/>
      </w:rPr>
      <w:tblPr/>
    </w:tblStylePr>
    <w:tblStylePr w:type="firstRow">
      <w:rPr>
        <w:b/>
        <w:color w:themeColor="accent3" w:themeTint="98" w:themeShade="95"/>
      </w:rPr>
      <w:tblPr/>
      <w:tcPr>
        <w:tcBorders>
          <w:bottom w:val="single" w:color="000000" w:themeColor="accent3" w:sz="4" w:space="0"/>
        </w:tcBorders>
      </w:tcPr>
    </w:tblStylePr>
    <w:tblStylePr w:type="lastCol">
      <w:rPr>
        <w:b/>
        <w:color w:themeColor="accent3" w:themeTint="98" w:themeShade="95"/>
      </w:rPr>
      <w:tblPr/>
    </w:tblStylePr>
    <w:tblStylePr w:type="lastRow">
      <w:rPr>
        <w:b/>
        <w:color w:themeColor="accent3" w:themeTint="98" w:themeShade="95"/>
      </w:rPr>
      <w:tblPr/>
      <w:tcPr>
        <w:tcBorders>
          <w:top w:val="single" w:color="000000" w:themeColor="accent3" w:sz="4" w:space="0"/>
        </w:tcBorders>
      </w:tcPr>
    </w:tblStylePr>
  </w:style>
  <w:style w:type="table" w:styleId="949">
    <w:name w:val="List Table 6 Colorful - Accent 4"/>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4" w:space="0"/>
        </w:tcBorders>
      </w:tcPr>
    </w:tblStylePr>
    <w:tblStylePr w:type="lastCol">
      <w:rPr>
        <w:b/>
        <w:color w:themeColor="accent4" w:themeTint="9a" w:themeShade="95"/>
      </w:rPr>
      <w:tblPr/>
    </w:tblStylePr>
    <w:tblStylePr w:type="lastRow">
      <w:rPr>
        <w:b/>
        <w:color w:themeColor="accent4" w:themeTint="9a" w:themeShade="95"/>
      </w:rPr>
      <w:tblPr/>
      <w:tcPr>
        <w:tcBorders>
          <w:top w:val="single" w:color="000000" w:themeColor="accent4" w:sz="4" w:space="0"/>
        </w:tcBorders>
      </w:tcPr>
    </w:tblStylePr>
  </w:style>
  <w:style w:type="table" w:styleId="950">
    <w:name w:val="List Table 6 Colorful - Accent 5"/>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themeColor="accent5" w:themeTint="9a" w:themeShade="95"/>
        <w:sz w:val="22"/>
      </w:rPr>
      <w:tblPr/>
    </w:tblStylePr>
    <w:tblStylePr w:type="firstCol">
      <w:rPr>
        <w:b/>
        <w:color w:themeColor="accent5" w:themeTint="9a" w:themeShade="95"/>
      </w:rPr>
      <w:tblPr/>
    </w:tblStylePr>
    <w:tblStylePr w:type="firstRow">
      <w:rPr>
        <w:b/>
        <w:color w:themeColor="accent5" w:themeTint="9a" w:themeShade="95"/>
      </w:rPr>
      <w:tblPr/>
      <w:tcPr>
        <w:tcBorders>
          <w:bottom w:val="single" w:color="000000" w:themeColor="accent5" w:sz="4" w:space="0"/>
        </w:tcBorders>
      </w:tcPr>
    </w:tblStylePr>
    <w:tblStylePr w:type="lastCol">
      <w:rPr>
        <w:b/>
        <w:color w:themeColor="accent5" w:themeTint="9a" w:themeShade="95"/>
      </w:rPr>
      <w:tblPr/>
    </w:tblStylePr>
    <w:tblStylePr w:type="lastRow">
      <w:rPr>
        <w:b/>
        <w:color w:themeColor="accent5" w:themeTint="9a" w:themeShade="95"/>
      </w:rPr>
      <w:tblPr/>
      <w:tcPr>
        <w:tcBorders>
          <w:top w:val="single" w:color="000000" w:themeColor="accent5" w:sz="4" w:space="0"/>
        </w:tcBorders>
      </w:tcPr>
    </w:tblStylePr>
  </w:style>
  <w:style w:type="table" w:styleId="951">
    <w:name w:val="List Table 6 Colorful - Accent 6"/>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themeColor="accent6" w:themeTint="98" w:themeShade="95"/>
        <w:sz w:val="22"/>
      </w:rPr>
      <w:tblPr/>
    </w:tblStylePr>
    <w:tblStylePr w:type="firstCol">
      <w:rPr>
        <w:b/>
        <w:color w:themeColor="accent6" w:themeTint="98" w:themeShade="95"/>
      </w:rPr>
      <w:tblPr/>
    </w:tblStylePr>
    <w:tblStylePr w:type="firstRow">
      <w:rPr>
        <w:b/>
        <w:color w:themeColor="accent6" w:themeTint="98" w:themeShade="95"/>
      </w:rPr>
      <w:tblPr/>
      <w:tcPr>
        <w:tcBorders>
          <w:bottom w:val="single" w:color="000000" w:themeColor="accent6" w:sz="4" w:space="0"/>
        </w:tcBorders>
      </w:tcPr>
    </w:tblStylePr>
    <w:tblStylePr w:type="lastCol">
      <w:rPr>
        <w:b/>
        <w:color w:themeColor="accent6" w:themeTint="98" w:themeShade="95"/>
      </w:rPr>
      <w:tblPr/>
    </w:tblStylePr>
    <w:tblStylePr w:type="lastRow">
      <w:rPr>
        <w:b/>
        <w:color w:themeColor="accent6" w:themeTint="98" w:themeShade="95"/>
      </w:rPr>
      <w:tblPr/>
      <w:tcPr>
        <w:tcBorders>
          <w:top w:val="single" w:color="000000" w:themeColor="accent6" w:sz="4" w:space="0"/>
        </w:tcBorders>
      </w:tcPr>
    </w:tblStylePr>
  </w:style>
  <w:style w:type="table" w:styleId="952">
    <w:name w:val="List Table 7 Colorful"/>
    <w:uiPriority w:val="99"/>
    <w:pPr>
      <w:spacing w:after="0" w:line="240" w:lineRule="auto"/>
    </w:pPr>
    <w:tblPr>
      <w:tblStyleRowBandSize w:val="1"/>
      <w:tblStyleColBandSize w:val="1"/>
      <w:tblBorders>
        <w:right w:val="single" w:color="000000" w:themeColor="text1" w:themeTint="80" w:sz="4" w:space="0"/>
      </w:tblBorders>
    </w:tblPr>
    <w:tblStylePr w:type="band1Horz">
      <w:rPr>
        <w:color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themeColor="text1" w:themeTint="80" w:themeShade="95"/>
        <w:sz w:val="22"/>
      </w:rPr>
      <w:tblPr/>
    </w:tblStylePr>
  </w:style>
  <w:style w:type="table" w:styleId="953">
    <w:name w:val="List Table 7 Colorful - Accent 1"/>
    <w:uiPriority w:val="99"/>
    <w:pPr>
      <w:spacing w:after="0" w:line="240" w:lineRule="auto"/>
    </w:pPr>
    <w:tblPr>
      <w:tblStyleRowBandSize w:val="1"/>
      <w:tblStyleColBandSize w:val="1"/>
      <w:tblBorders>
        <w:right w:val="single" w:color="000000" w:themeColor="accent1" w:sz="4" w:space="0"/>
      </w:tblBorders>
    </w:tblPr>
    <w:tblStylePr w:type="band1Horz">
      <w:rPr>
        <w:color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themeColor="accent1" w:themeShade="95"/>
        <w:sz w:val="22"/>
      </w:rPr>
      <w:tbl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wholeTable">
      <w:rPr>
        <w:color w:themeColor="accent1" w:themeShade="95"/>
        <w:sz w:val="22"/>
      </w:rPr>
      <w:tblPr/>
    </w:tblStylePr>
  </w:style>
  <w:style w:type="table" w:styleId="954">
    <w:name w:val="List Table 7 Colorful - Accent 2"/>
    <w:uiPriority w:val="99"/>
    <w:pPr>
      <w:spacing w:after="0" w:line="240" w:lineRule="auto"/>
    </w:pPr>
    <w:tblPr>
      <w:tblStyleRowBandSize w:val="1"/>
      <w:tblStyleColBandSize w:val="1"/>
      <w:tblBorders>
        <w:right w:val="single" w:color="000000" w:themeColor="accent2" w:themeTint="97" w:sz="4" w:space="0"/>
      </w:tblBorders>
    </w:tblPr>
    <w:tblStylePr w:type="band1Horz">
      <w:rPr>
        <w:color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wholeTable">
      <w:rPr>
        <w:color w:themeColor="accent2" w:themeTint="97" w:themeShade="95"/>
        <w:sz w:val="22"/>
      </w:rPr>
      <w:tblPr/>
    </w:tblStylePr>
  </w:style>
  <w:style w:type="table" w:styleId="955">
    <w:name w:val="List Table 7 Colorful - Accent 3"/>
    <w:uiPriority w:val="99"/>
    <w:pPr>
      <w:spacing w:after="0" w:line="240" w:lineRule="auto"/>
    </w:pPr>
    <w:tblPr>
      <w:tblStyleRowBandSize w:val="1"/>
      <w:tblStyleColBandSize w:val="1"/>
      <w:tblBorders>
        <w:right w:val="single" w:color="000000" w:themeColor="accent3" w:themeTint="98" w:sz="4" w:space="0"/>
      </w:tblBorders>
    </w:tblPr>
    <w:tblStylePr w:type="band1Horz">
      <w:rPr>
        <w:color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themeColor="accent3" w:themeTint="98" w:themeShade="95"/>
        <w:sz w:val="22"/>
      </w:rPr>
      <w:tbl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wholeTable">
      <w:rPr>
        <w:color w:themeColor="accent3" w:themeTint="98" w:themeShade="95"/>
        <w:sz w:val="22"/>
      </w:rPr>
      <w:tblPr/>
    </w:tblStylePr>
  </w:style>
  <w:style w:type="table" w:styleId="956">
    <w:name w:val="List Table 7 Colorful - Accent 4"/>
    <w:uiPriority w:val="99"/>
    <w:pPr>
      <w:spacing w:after="0" w:line="240" w:lineRule="auto"/>
    </w:pPr>
    <w:tblPr>
      <w:tblStyleRowBandSize w:val="1"/>
      <w:tblStyleColBandSize w:val="1"/>
      <w:tblBorders>
        <w:right w:val="single" w:color="000000" w:themeColor="accent4" w:themeTint="9a" w:sz="4" w:space="0"/>
      </w:tblBorders>
    </w:tblPr>
    <w:tblStylePr w:type="band1Horz">
      <w:rPr>
        <w:color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wholeTable">
      <w:rPr>
        <w:color w:themeColor="accent4" w:themeTint="9a" w:themeShade="95"/>
        <w:sz w:val="22"/>
      </w:rPr>
      <w:tblPr/>
    </w:tblStylePr>
  </w:style>
  <w:style w:type="table" w:styleId="957">
    <w:name w:val="List Table 7 Colorful - Accent 5"/>
    <w:uiPriority w:val="99"/>
    <w:pPr>
      <w:spacing w:after="0" w:line="240" w:lineRule="auto"/>
    </w:pPr>
    <w:tblPr>
      <w:tblStyleRowBandSize w:val="1"/>
      <w:tblStyleColBandSize w:val="1"/>
      <w:tblBorders>
        <w:right w:val="single" w:color="000000" w:themeColor="accent5" w:themeTint="9a" w:sz="4" w:space="0"/>
      </w:tblBorders>
    </w:tblPr>
    <w:tblStylePr w:type="band1Horz">
      <w:rPr>
        <w:color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themeColor="accent5" w:themeTint="9a" w:themeShade="95"/>
        <w:sz w:val="22"/>
      </w:rPr>
      <w:tbl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wholeTable">
      <w:rPr>
        <w:color w:themeColor="accent5" w:themeTint="9a" w:themeShade="95"/>
        <w:sz w:val="22"/>
      </w:rPr>
      <w:tblPr/>
    </w:tblStylePr>
  </w:style>
  <w:style w:type="table" w:styleId="958">
    <w:name w:val="List Table 7 Colorful - Accent 6"/>
    <w:uiPriority w:val="99"/>
    <w:pPr>
      <w:spacing w:after="0" w:line="240" w:lineRule="auto"/>
    </w:pPr>
    <w:tblPr>
      <w:tblStyleRowBandSize w:val="1"/>
      <w:tblStyleColBandSize w:val="1"/>
      <w:tblBorders>
        <w:right w:val="single" w:color="000000" w:themeColor="accent6" w:themeTint="98" w:sz="4" w:space="0"/>
      </w:tblBorders>
    </w:tblPr>
    <w:tblStylePr w:type="band1Horz">
      <w:rPr>
        <w:color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themeColor="accent6" w:themeTint="98" w:themeShade="95"/>
        <w:sz w:val="22"/>
      </w:rPr>
      <w:tbl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wholeTable">
      <w:rPr>
        <w:color w:themeColor="accent6" w:themeTint="98" w:themeShade="95"/>
        <w:sz w:val="22"/>
      </w:rPr>
      <w:tblPr/>
    </w:tblStylePr>
  </w:style>
  <w:style w:type="table" w:styleId="959">
    <w:name w:val="Lined - Accent"/>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styleId="960">
    <w:name w:val="Lined - Accent 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7D7EA" w:themeFill="accent1" w:themeFillTint="50"/>
      </w:tcPr>
    </w:tblStylePr>
    <w:tblStylePr w:type="band2Vert">
      <w:rPr>
        <w:sz w:val="22"/>
      </w:rPr>
      <w:tblPr/>
      <w:tcPr>
        <w:shd w:val="clear" w:color="FFFFFF" w:fill="C7D7EA" w:themeFill="accent1" w:themeFillTint="50"/>
      </w:tcPr>
    </w:tblStylePr>
    <w:tblStylePr w:type="firstCol">
      <w:rPr>
        <w:sz w:val="22"/>
      </w:rPr>
      <w:tblPr/>
      <w:tcPr>
        <w:shd w:val="clear" w:color="FFFFFF" w:fill="5D8DC2" w:themeFill="accent1" w:themeFillTint="ea"/>
      </w:tcPr>
    </w:tblStylePr>
    <w:tblStylePr w:type="firstRow">
      <w:rPr>
        <w:sz w:val="22"/>
      </w:rPr>
      <w:tblPr/>
      <w:tcPr>
        <w:shd w:val="clear" w:color="FFFFFF" w:fill="5D8DC2" w:themeFill="accent1" w:themeFillTint="ea"/>
      </w:tcPr>
    </w:tblStylePr>
    <w:tblStylePr w:type="lastCol">
      <w:rPr>
        <w:sz w:val="22"/>
      </w:rPr>
      <w:tblPr/>
      <w:tcPr>
        <w:shd w:val="clear" w:color="FFFFFF" w:fill="5D8DC2" w:themeFill="accent1" w:themeFillTint="ea"/>
      </w:tcPr>
    </w:tblStylePr>
    <w:tblStylePr w:type="lastRow">
      <w:rPr>
        <w:sz w:val="22"/>
      </w:rPr>
      <w:tblPr/>
      <w:tcPr>
        <w:shd w:val="clear" w:color="FFFFFF" w:fill="5D8DC2" w:themeFill="accent1" w:themeFillTint="ea"/>
      </w:tcPr>
    </w:tblStylePr>
  </w:style>
  <w:style w:type="table" w:styleId="961">
    <w:name w:val="Lined - Accent 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DCDB" w:themeFill="accent2" w:themeFillTint="32"/>
      </w:tcPr>
    </w:tblStylePr>
    <w:tblStylePr w:type="band2Vert">
      <w:rPr>
        <w:sz w:val="22"/>
      </w:rPr>
      <w:tblPr/>
      <w:tcPr>
        <w:shd w:val="clear" w:color="FFFFFF" w:fill="F2DCDB" w:themeFill="accent2" w:themeFillTint="32"/>
      </w:tcPr>
    </w:tblStylePr>
    <w:tblStylePr w:type="firstCol">
      <w:rPr>
        <w:sz w:val="22"/>
      </w:rPr>
      <w:tblPr/>
      <w:tcPr>
        <w:shd w:val="clear" w:color="FFFFFF" w:fill="D99694" w:themeFill="accent2" w:themeFillTint="97"/>
      </w:tcPr>
    </w:tblStylePr>
    <w:tblStylePr w:type="firstRow">
      <w:rPr>
        <w:sz w:val="22"/>
      </w:rPr>
      <w:tblPr/>
      <w:tcPr>
        <w:shd w:val="clear" w:color="FFFFFF" w:fill="D99694" w:themeFill="accent2" w:themeFillTint="97"/>
      </w:tcPr>
    </w:tblStylePr>
    <w:tblStylePr w:type="lastCol">
      <w:rPr>
        <w:sz w:val="22"/>
      </w:rPr>
      <w:tblPr/>
      <w:tcPr>
        <w:shd w:val="clear" w:color="FFFFFF" w:fill="D99694" w:themeFill="accent2" w:themeFillTint="97"/>
      </w:tcPr>
    </w:tblStylePr>
    <w:tblStylePr w:type="lastRow">
      <w:rPr>
        <w:sz w:val="22"/>
      </w:rPr>
      <w:tblPr/>
      <w:tcPr>
        <w:shd w:val="clear" w:color="FFFFFF" w:fill="D99694" w:themeFill="accent2" w:themeFillTint="97"/>
      </w:tcPr>
    </w:tblStylePr>
  </w:style>
  <w:style w:type="table" w:styleId="962">
    <w:name w:val="Lined - Accent 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AF0DD" w:themeFill="accent3" w:themeFillTint="34"/>
      </w:tcPr>
    </w:tblStylePr>
    <w:tblStylePr w:type="band2Vert">
      <w:rPr>
        <w:sz w:val="22"/>
      </w:rPr>
      <w:tblPr/>
      <w:tcPr>
        <w:shd w:val="clear" w:color="FFFFFF" w:fill="EAF0DD" w:themeFill="accent3" w:themeFillTint="34"/>
      </w:tcPr>
    </w:tblStylePr>
    <w:tblStylePr w:type="firstCol">
      <w:rPr>
        <w:sz w:val="22"/>
      </w:rPr>
      <w:tblPr/>
      <w:tcPr>
        <w:shd w:val="clear" w:color="FFFFFF" w:fill="9BBA59" w:themeFill="accent3" w:themeFillTint="fe"/>
      </w:tcPr>
    </w:tblStylePr>
    <w:tblStylePr w:type="firstRow">
      <w:rPr>
        <w:sz w:val="22"/>
      </w:rPr>
      <w:tblPr/>
      <w:tcPr>
        <w:shd w:val="clear" w:color="FFFFFF" w:fill="9BBA59" w:themeFill="accent3" w:themeFillTint="fe"/>
      </w:tcPr>
    </w:tblStylePr>
    <w:tblStylePr w:type="lastCol">
      <w:rPr>
        <w:sz w:val="22"/>
      </w:rPr>
      <w:tblPr/>
      <w:tcPr>
        <w:shd w:val="clear" w:color="FFFFFF" w:fill="9BBA59" w:themeFill="accent3" w:themeFillTint="fe"/>
      </w:tcPr>
    </w:tblStylePr>
    <w:tblStylePr w:type="lastRow">
      <w:rPr>
        <w:sz w:val="22"/>
      </w:rPr>
      <w:tblPr/>
      <w:tcPr>
        <w:shd w:val="clear" w:color="FFFFFF" w:fill="9BBA59" w:themeFill="accent3" w:themeFillTint="fe"/>
      </w:tcPr>
    </w:tblStylePr>
  </w:style>
  <w:style w:type="table" w:styleId="963">
    <w:name w:val="Lined - Accent 4"/>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6" w:themeFill="accent4" w:themeFillTint="9a"/>
      </w:tcPr>
    </w:tblStylePr>
    <w:tblStylePr w:type="firstRow">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style>
  <w:style w:type="table" w:styleId="964">
    <w:name w:val="Lined - Accent 5"/>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style>
  <w:style w:type="table" w:styleId="965">
    <w:name w:val="Lined - Accent 6"/>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DE9D8" w:themeFill="accent6" w:themeFillTint="34"/>
      </w:tcPr>
    </w:tblStylePr>
    <w:tblStylePr w:type="band2Vert">
      <w:rPr>
        <w:sz w:val="22"/>
      </w:rPr>
      <w:tblPr/>
      <w:tcPr>
        <w:shd w:val="clear" w:color="FFFFFF" w:fill="FDE9D8"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style>
  <w:style w:type="table" w:styleId="966">
    <w:name w:val="Bordered &amp; Lined - Accent"/>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styleId="967">
    <w:name w:val="Bordered &amp; Lined - Accent 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7D7EA" w:themeFill="accent1" w:themeFillTint="50"/>
      </w:tcPr>
    </w:tblStylePr>
    <w:tblStylePr w:type="band2Vert">
      <w:rPr>
        <w:sz w:val="22"/>
      </w:rPr>
      <w:tblPr/>
      <w:tcPr>
        <w:shd w:val="clear" w:color="FFFFFF" w:fill="C7D7EA" w:themeFill="accent1" w:themeFillTint="50"/>
      </w:tcPr>
    </w:tblStylePr>
    <w:tblStylePr w:type="firstCol">
      <w:rPr>
        <w:sz w:val="22"/>
      </w:rPr>
      <w:tblPr/>
      <w:tcPr>
        <w:shd w:val="clear" w:color="FFFFFF" w:fill="5D8DC2" w:themeFill="accent1" w:themeFillTint="ea"/>
      </w:tcPr>
    </w:tblStylePr>
    <w:tblStylePr w:type="firstRow">
      <w:rPr>
        <w:sz w:val="22"/>
      </w:rPr>
      <w:tblPr/>
      <w:tcPr>
        <w:shd w:val="clear" w:color="FFFFFF" w:fill="5D8DC2" w:themeFill="accent1" w:themeFillTint="ea"/>
      </w:tcPr>
    </w:tblStylePr>
    <w:tblStylePr w:type="lastCol">
      <w:rPr>
        <w:sz w:val="22"/>
      </w:rPr>
      <w:tblPr/>
      <w:tcPr>
        <w:shd w:val="clear" w:color="FFFFFF" w:fill="5D8DC2" w:themeFill="accent1" w:themeFillTint="ea"/>
      </w:tcPr>
    </w:tblStylePr>
    <w:tblStylePr w:type="lastRow">
      <w:rPr>
        <w:sz w:val="22"/>
      </w:rPr>
      <w:tblPr/>
      <w:tcPr>
        <w:shd w:val="clear" w:color="FFFFFF" w:fill="5D8DC2" w:themeFill="accent1" w:themeFillTint="ea"/>
      </w:tcPr>
    </w:tblStylePr>
  </w:style>
  <w:style w:type="table" w:styleId="968">
    <w:name w:val="Bordered &amp; Lined - Accent 2"/>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2DCDB" w:themeFill="accent2" w:themeFillTint="32"/>
      </w:tcPr>
    </w:tblStylePr>
    <w:tblStylePr w:type="band2Vert">
      <w:rPr>
        <w:sz w:val="22"/>
      </w:rPr>
      <w:tblPr/>
      <w:tcPr>
        <w:shd w:val="clear" w:color="FFFFFF" w:fill="F2DCDB" w:themeFill="accent2" w:themeFillTint="32"/>
      </w:tcPr>
    </w:tblStylePr>
    <w:tblStylePr w:type="firstCol">
      <w:rPr>
        <w:sz w:val="22"/>
      </w:rPr>
      <w:tblPr/>
      <w:tcPr>
        <w:shd w:val="clear" w:color="FFFFFF" w:fill="D99694" w:themeFill="accent2" w:themeFillTint="97"/>
      </w:tcPr>
    </w:tblStylePr>
    <w:tblStylePr w:type="firstRow">
      <w:rPr>
        <w:sz w:val="22"/>
      </w:rPr>
      <w:tblPr/>
      <w:tcPr>
        <w:shd w:val="clear" w:color="FFFFFF" w:fill="D99694" w:themeFill="accent2" w:themeFillTint="97"/>
      </w:tcPr>
    </w:tblStylePr>
    <w:tblStylePr w:type="lastCol">
      <w:rPr>
        <w:sz w:val="22"/>
      </w:rPr>
      <w:tblPr/>
      <w:tcPr>
        <w:shd w:val="clear" w:color="FFFFFF" w:fill="D99694" w:themeFill="accent2" w:themeFillTint="97"/>
      </w:tcPr>
    </w:tblStylePr>
    <w:tblStylePr w:type="lastRow">
      <w:rPr>
        <w:sz w:val="22"/>
      </w:rPr>
      <w:tblPr/>
      <w:tcPr>
        <w:shd w:val="clear" w:color="FFFFFF" w:fill="D99694" w:themeFill="accent2" w:themeFillTint="97"/>
      </w:tcPr>
    </w:tblStylePr>
  </w:style>
  <w:style w:type="table" w:styleId="969">
    <w:name w:val="Bordered &amp; Lined - Accent 3"/>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AF0DD" w:themeFill="accent3" w:themeFillTint="34"/>
      </w:tcPr>
    </w:tblStylePr>
    <w:tblStylePr w:type="band2Vert">
      <w:rPr>
        <w:sz w:val="22"/>
      </w:rPr>
      <w:tblPr/>
      <w:tcPr>
        <w:shd w:val="clear" w:color="FFFFFF" w:fill="EAF0DD" w:themeFill="accent3" w:themeFillTint="34"/>
      </w:tcPr>
    </w:tblStylePr>
    <w:tblStylePr w:type="firstCol">
      <w:rPr>
        <w:sz w:val="22"/>
      </w:rPr>
      <w:tblPr/>
      <w:tcPr>
        <w:shd w:val="clear" w:color="FFFFFF" w:fill="9BBA59" w:themeFill="accent3" w:themeFillTint="fe"/>
      </w:tcPr>
    </w:tblStylePr>
    <w:tblStylePr w:type="firstRow">
      <w:rPr>
        <w:sz w:val="22"/>
      </w:rPr>
      <w:tblPr/>
      <w:tcPr>
        <w:shd w:val="clear" w:color="FFFFFF" w:fill="9BBA59" w:themeFill="accent3" w:themeFillTint="fe"/>
      </w:tcPr>
    </w:tblStylePr>
    <w:tblStylePr w:type="lastCol">
      <w:rPr>
        <w:sz w:val="22"/>
      </w:rPr>
      <w:tblPr/>
      <w:tcPr>
        <w:shd w:val="clear" w:color="FFFFFF" w:fill="9BBA59" w:themeFill="accent3" w:themeFillTint="fe"/>
      </w:tcPr>
    </w:tblStylePr>
    <w:tblStylePr w:type="lastRow">
      <w:rPr>
        <w:sz w:val="22"/>
      </w:rPr>
      <w:tblPr/>
      <w:tcPr>
        <w:shd w:val="clear" w:color="FFFFFF" w:fill="9BBA59" w:themeFill="accent3" w:themeFillTint="fe"/>
      </w:tcPr>
    </w:tblStylePr>
  </w:style>
  <w:style w:type="table" w:styleId="970">
    <w:name w:val="Bordered &amp; Lined - Accent 4"/>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6" w:themeFill="accent4" w:themeFillTint="9a"/>
      </w:tcPr>
    </w:tblStylePr>
    <w:tblStylePr w:type="firstRow">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style>
  <w:style w:type="table" w:styleId="971">
    <w:name w:val="Bordered &amp; Lined - Accent 5"/>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style>
  <w:style w:type="table" w:styleId="972">
    <w:name w:val="Bordered &amp; Lined - Accent 6"/>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FDE9D8" w:themeFill="accent6" w:themeFillTint="34"/>
      </w:tcPr>
    </w:tblStylePr>
    <w:tblStylePr w:type="band2Vert">
      <w:rPr>
        <w:sz w:val="22"/>
      </w:rPr>
      <w:tblPr/>
      <w:tcPr>
        <w:shd w:val="clear" w:color="FFFFFF" w:fill="FDE9D8"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style>
  <w:style w:type="table" w:styleId="973">
    <w:name w:val="Bordered"/>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style>
  <w:style w:type="table" w:styleId="974">
    <w:name w:val="Bordered - Accent 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style>
  <w:style w:type="table" w:styleId="975">
    <w:name w:val="Bordered - Accent 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style>
  <w:style w:type="table" w:styleId="976">
    <w:name w:val="Bordered - Accent 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style>
  <w:style w:type="table" w:styleId="977">
    <w:name w:val="Bordered - Accent 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style>
  <w:style w:type="table" w:styleId="978">
    <w:name w:val="Bordered - Accent 5"/>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style>
  <w:style w:type="table" w:styleId="979">
    <w:name w:val="Bordered - Accent 6"/>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style>
  <w:style w:type="table" w:styleId="1009">
    <w:name w:val="Обычная таблица"/>
    <w:uiPriority w:val="99"/>
    <w:semiHidden/>
    <w:unhideWhenUsed/>
    <w:qFormat/>
  </w:style>
  <w:style w:type="table" w:styleId="1014">
    <w:name w:val="Сетка таблицы"/>
    <w:basedOn w:val="1009"/>
    <w:uiPriority w:val="59"/>
  </w:style>
  <w:style w:type="table" w:styleId="1158">
    <w:name w:val="Светлая заливка - Акцент 2"/>
    <w:basedOn w:val="1009"/>
    <w:uiPriority w:val="30"/>
    <w:rPr>
      <w:b/>
      <w:bCs/>
      <w:i/>
      <w:sz w:val="22"/>
      <w:szCs w:val="22"/>
    </w:rPr>
  </w:style>
  <w:style w:type="table" w:styleId="1159">
    <w:name w:val="Цветной список - Акцент 1"/>
    <w:basedOn w:val="1009"/>
    <w:uiPriority w:val="99"/>
    <w:rPr>
      <w:sz w:val="24"/>
      <w:szCs w:val="24"/>
    </w:rPr>
  </w:style>
  <w:style w:type="table" w:default="1" w:styleId="1168">
    <w:name w:val="Normal Table"/>
    <w:uiPriority w:val="99"/>
    <w:semiHidden/>
    <w:unhideWhenUsed/>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qr.gosnadzor.ru/energybez" TargetMode="External"/><Relationship Id="rId3" Type="http://schemas.openxmlformats.org/officeDocument/2006/relationships/hyperlink" Target="https://qr.gosnadzor.ru/energybez"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39</TotalTime>
  <Application>LibreOffice/25.8.0.4$Linux_X86_64 LibreOffice_project/48f00303701489684e67c38c28aff00cd5929e67</Application>
  <AppVersion>15.0000</AppVersion>
  <Pages>42</Pages>
  <Words>11499</Words>
  <Characters>81582</Characters>
  <CharactersWithSpaces>92559</CharactersWithSpaces>
  <Paragraphs>646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2020-03-19T09:06:00Z</dcterms:created>
  <dc:creator>Customer</dc:creator>
  <dc:description/>
  <dc:language>ru-RU</dc:language>
  <cp:lastModifiedBy/>
  <dcterms:modified xsi:type="dcterms:W3CDTF">2026-05-20T17:03:38Z</dcterms:modified>
  <cp:revision>124</cp:revision>
  <dc:subject/>
  <dc:title>Техзадание</dc:title>
  <cp:version>1048576</cp:version>
</cp:coreProperties>
</file>

<file path=docProps/custom.xml><?xml version="1.0" encoding="utf-8"?>
<Properties xmlns="http://schemas.openxmlformats.org/officeDocument/2006/custom-properties" xmlns:vt="http://schemas.openxmlformats.org/officeDocument/2006/docPropsVTypes"/>
</file>